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60" w:lineRule="atLeast"/>
        <w:textAlignment w:val="auto"/>
        <w:rPr>
          <w:sz w:val="32"/>
          <w:szCs w:val="32"/>
        </w:rPr>
      </w:pPr>
      <w:bookmarkStart w:id="0" w:name="_Hlk534271995"/>
    </w:p>
    <w:p>
      <w:pPr>
        <w:keepNext w:val="0"/>
        <w:keepLines w:val="0"/>
        <w:pageBreakBefore w:val="0"/>
        <w:widowControl w:val="0"/>
        <w:kinsoku/>
        <w:wordWrap/>
        <w:overflowPunct/>
        <w:topLinePunct w:val="0"/>
        <w:autoSpaceDE/>
        <w:autoSpaceDN/>
        <w:bidi w:val="0"/>
        <w:adjustRightInd w:val="0"/>
        <w:snapToGrid w:val="0"/>
        <w:spacing w:line="560" w:lineRule="atLeast"/>
        <w:textAlignment w:val="auto"/>
        <w:rPr>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atLeast"/>
        <w:textAlignment w:val="auto"/>
        <w:rPr>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atLeast"/>
        <w:textAlignment w:val="auto"/>
        <w:rPr>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atLeast"/>
        <w:textAlignment w:val="auto"/>
        <w:rPr>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atLeast"/>
        <w:textAlignment w:val="auto"/>
        <w:rPr>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atLeas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滕工信字[20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号</w:t>
      </w:r>
    </w:p>
    <w:p>
      <w:pPr>
        <w:keepNext w:val="0"/>
        <w:keepLines w:val="0"/>
        <w:pageBreakBefore w:val="0"/>
        <w:widowControl w:val="0"/>
        <w:kinsoku/>
        <w:wordWrap/>
        <w:overflowPunct/>
        <w:topLinePunct w:val="0"/>
        <w:autoSpaceDE/>
        <w:autoSpaceDN/>
        <w:bidi w:val="0"/>
        <w:snapToGrid w:val="0"/>
        <w:spacing w:line="560" w:lineRule="atLeast"/>
        <w:jc w:val="center"/>
        <w:textAlignment w:val="auto"/>
        <w:rPr>
          <w:rFonts w:hint="eastAsia" w:ascii="黑体" w:hAnsi="黑体" w:eastAsia="黑体" w:cs="黑体"/>
          <w:bCs/>
          <w:color w:val="000000"/>
          <w:sz w:val="36"/>
          <w:szCs w:val="36"/>
        </w:rPr>
      </w:pPr>
    </w:p>
    <w:bookmarkEnd w:id="0"/>
    <w:p>
      <w:pPr>
        <w:spacing w:line="680" w:lineRule="exact"/>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关于印发《滕州市工业和信息化局进一步优化营商环境实现新突破工作方案》的通知</w:t>
      </w:r>
      <w:bookmarkStart w:id="1" w:name="_GoBack"/>
      <w:bookmarkEnd w:id="1"/>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各科室、各中心：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深入贯彻落实市委市政府《印发&lt;关于进一步优化营商环境实现新突破的实施方案&gt;的通知》（滕发〔2022〕4号）精神，进一步优化营商环境，促进工业经济高质量发展，我局制定印发了《滕州市工业和信息化局进一步优化营商环境实现新突破工作方案》，请对照抓好落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附件：</w:t>
      </w:r>
      <w:r>
        <w:rPr>
          <w:rFonts w:hint="eastAsia" w:ascii="仿宋_GB2312" w:hAnsi="仿宋_GB2312" w:eastAsia="仿宋_GB2312" w:cs="仿宋_GB2312"/>
          <w:sz w:val="32"/>
          <w:szCs w:val="32"/>
          <w:lang w:val="en-US" w:eastAsia="zh-CN"/>
        </w:rPr>
        <w:t>《滕州市工业和信息化局进一步优化营商环境实现新突破工作方案》</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滕州市工业和信息化局</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default" w:ascii="仿宋_GB2312" w:hAnsi="仿宋_GB2312" w:eastAsia="仿宋_GB2312" w:cs="仿宋_GB2312"/>
          <w:sz w:val="32"/>
          <w:szCs w:val="32"/>
          <w:lang w:val="en-US" w:eastAsia="zh-CN"/>
        </w:rPr>
        <w:sectPr>
          <w:footerReference r:id="rId3" w:type="default"/>
          <w:pgSz w:w="11906" w:h="16838"/>
          <w:pgMar w:top="1701" w:right="1701" w:bottom="1701" w:left="1701" w:header="851" w:footer="992" w:gutter="0"/>
          <w:pgNumType w:fmt="numberInDash"/>
          <w:cols w:space="425" w:num="1"/>
          <w:docGrid w:type="lines" w:linePitch="312" w:charSpace="0"/>
        </w:sectPr>
      </w:pPr>
      <w:r>
        <w:rPr>
          <w:rFonts w:hint="eastAsia" w:ascii="仿宋_GB2312" w:hAnsi="仿宋_GB2312" w:eastAsia="仿宋_GB2312" w:cs="仿宋_GB2312"/>
          <w:sz w:val="32"/>
          <w:szCs w:val="32"/>
          <w:lang w:val="en-US" w:eastAsia="zh-CN"/>
        </w:rPr>
        <w:t>2022年3月16日</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滕州市工业和信息化局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进一步优化营商环境实现新突破工作方案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深入贯彻落实市委市政府《印发&lt;关于进一步优化营商环境实现新突破的实施方案&gt;的通知》（滕发〔2022〕4号）精神，根据市营转办《关于贯彻落实&lt;关于进一步优化营商环境实现新突破的实施方案&gt;的通知》要求，聚焦实施“工业强市、产业兴市”战略，全力推进工信领域营商环境实现新突破。结合我局实际，特制定本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一、指导思想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lang w:val="en-US" w:eastAsia="zh-CN"/>
        </w:rPr>
      </w:pPr>
      <w:r>
        <w:rPr>
          <w:rFonts w:hint="eastAsia" w:ascii="仿宋_GB2312" w:hAnsi="仿宋_GB2312" w:eastAsia="仿宋_GB2312" w:cs="仿宋_GB2312"/>
          <w:sz w:val="32"/>
          <w:szCs w:val="32"/>
          <w:lang w:val="en-US" w:eastAsia="zh-CN"/>
        </w:rPr>
        <w:t>坚持以习近平新时代中国特色社会主义思想为指导，全面贯彻党的十九大、十九届历次全会精神和习近平总书记视察山东重要讲话精神及“工业强市、产业兴市”战略部署，</w:t>
      </w:r>
      <w:r>
        <w:rPr>
          <w:rFonts w:hint="eastAsia" w:ascii="仿宋_GB2312" w:hAnsi="仿宋_GB2312" w:eastAsia="仿宋_GB2312" w:cs="仿宋_GB2312"/>
          <w:sz w:val="32"/>
          <w:lang w:val="en-US" w:eastAsia="zh-CN"/>
        </w:rPr>
        <w:t>立足新发展阶段，贯彻新发展理念，融入新发展格局，推动高质量发展，按照“五比五看”工作总要求，聚焦聚力“十大创新”“六大提升工程”“七个关键突破”，大力倡树“严真细实快”的作风，着力破解工业经济、中小企业发展中遇到的营商环境突出问题，切实提高管理能力和服务水平，以高质量营商环境促进工业经济高质量发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二、重点任务</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sz w:val="32"/>
          <w:lang w:val="en-US" w:eastAsia="zh-CN"/>
        </w:rPr>
      </w:pPr>
      <w:r>
        <w:rPr>
          <w:rFonts w:hint="eastAsia" w:ascii="楷体_GB2312" w:hAnsi="楷体_GB2312" w:eastAsia="楷体_GB2312" w:cs="楷体_GB2312"/>
          <w:b/>
          <w:bCs/>
          <w:sz w:val="32"/>
          <w:lang w:val="en-US" w:eastAsia="zh-CN"/>
        </w:rPr>
        <w:t>（一）在打造工信领域高效透明政务环境上攻坚突破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lang w:val="en-US" w:eastAsia="zh-CN"/>
        </w:rPr>
      </w:pPr>
      <w:r>
        <w:rPr>
          <w:rFonts w:hint="default" w:ascii="Times New Roman" w:hAnsi="Times New Roman" w:eastAsia="楷体_GB2312" w:cs="Times New Roman"/>
          <w:b/>
          <w:bCs/>
          <w:sz w:val="32"/>
          <w:lang w:val="en-US" w:eastAsia="zh-CN"/>
        </w:rPr>
        <w:t>1.</w:t>
      </w:r>
      <w:r>
        <w:rPr>
          <w:rFonts w:hint="eastAsia" w:ascii="仿宋_GB2312" w:hAnsi="仿宋_GB2312" w:eastAsia="仿宋_GB2312" w:cs="仿宋_GB2312"/>
          <w:b w:val="0"/>
          <w:bCs w:val="0"/>
          <w:sz w:val="32"/>
          <w:lang w:val="en-US" w:eastAsia="zh-CN"/>
        </w:rPr>
        <w:t>持续</w:t>
      </w:r>
      <w:r>
        <w:rPr>
          <w:rFonts w:hint="eastAsia" w:ascii="仿宋_GB2312" w:hAnsi="仿宋_GB2312" w:eastAsia="仿宋_GB2312" w:cs="仿宋_GB2312"/>
          <w:sz w:val="32"/>
          <w:lang w:val="en-US" w:eastAsia="zh-CN"/>
        </w:rPr>
        <w:t>提升政务服务事项标准化水平。</w:t>
      </w:r>
      <w:r>
        <w:rPr>
          <w:rFonts w:hint="eastAsia" w:ascii="仿宋_GB2312" w:hAnsi="仿宋_GB2312" w:eastAsia="仿宋_GB2312" w:cs="仿宋_GB2312"/>
          <w:b w:val="0"/>
          <w:bCs w:val="0"/>
          <w:color w:val="000000"/>
          <w:sz w:val="32"/>
          <w:szCs w:val="32"/>
          <w:lang w:val="en-US" w:eastAsia="zh-CN"/>
        </w:rPr>
        <w:t>根据《滕州市工业和信息化局权责清单》，动态调整山东省政务服务事项管理系统中涉及本单位的事项目录及对应实施清单，规范配置枣庄政务服务平台中的对应事项属性、人员部署、本地操作，确保办事信息准确、程序通畅、流程高效</w:t>
      </w:r>
      <w:r>
        <w:rPr>
          <w:rFonts w:hint="eastAsia" w:ascii="仿宋_GB2312" w:hAnsi="仿宋_GB2312" w:eastAsia="仿宋_GB2312" w:cs="仿宋_GB2312"/>
          <w:sz w:val="32"/>
          <w:lang w:val="en-US" w:eastAsia="zh-CN"/>
        </w:rPr>
        <w:t>。</w:t>
      </w:r>
      <w:r>
        <w:rPr>
          <w:rFonts w:hint="eastAsia" w:ascii="仿宋_GB2312" w:hAnsi="仿宋_GB2312" w:eastAsia="仿宋_GB2312" w:cs="仿宋_GB2312"/>
          <w:b w:val="0"/>
          <w:bCs w:val="0"/>
          <w:color w:val="000000"/>
          <w:sz w:val="32"/>
          <w:szCs w:val="32"/>
          <w:lang w:val="en-US" w:eastAsia="zh-CN"/>
        </w:rPr>
        <w:t>（</w:t>
      </w:r>
      <w:r>
        <w:rPr>
          <w:rFonts w:hint="eastAsia" w:ascii="楷体_GB2312" w:hAnsi="楷体_GB2312" w:eastAsia="楷体_GB2312" w:cs="楷体_GB2312"/>
          <w:b w:val="0"/>
          <w:bCs w:val="0"/>
          <w:color w:val="000000"/>
          <w:sz w:val="32"/>
          <w:szCs w:val="32"/>
          <w:lang w:val="en-US" w:eastAsia="zh-CN"/>
        </w:rPr>
        <w:t>牵头科室：综合法规科，责任科室：消费品产业科、规划与技术改造科、企业科、科技装备科、民爆器材科、信息产业科、非公经济（中小企业）发展科、创新创业指导科</w:t>
      </w:r>
      <w:r>
        <w:rPr>
          <w:rFonts w:hint="eastAsia" w:ascii="仿宋_GB2312" w:hAnsi="仿宋_GB2312" w:eastAsia="仿宋_GB2312" w:cs="仿宋_GB2312"/>
          <w:b w:val="0"/>
          <w:bCs w:val="0"/>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lang w:val="en-US" w:eastAsia="zh-CN"/>
        </w:rPr>
      </w:pPr>
      <w:r>
        <w:rPr>
          <w:rFonts w:hint="default" w:ascii="Times New Roman" w:hAnsi="Times New Roman" w:eastAsia="仿宋_GB2312" w:cs="Times New Roman"/>
          <w:b/>
          <w:bCs/>
          <w:sz w:val="32"/>
          <w:lang w:val="en-US" w:eastAsia="zh-CN"/>
        </w:rPr>
        <w:t>2.</w:t>
      </w:r>
      <w:r>
        <w:rPr>
          <w:rFonts w:hint="eastAsia" w:ascii="仿宋_GB2312" w:hAnsi="仿宋_GB2312" w:eastAsia="仿宋_GB2312" w:cs="仿宋_GB2312"/>
          <w:sz w:val="32"/>
          <w:lang w:val="en-US" w:eastAsia="zh-CN"/>
        </w:rPr>
        <w:t>贯彻落实</w:t>
      </w:r>
      <w:r>
        <w:rPr>
          <w:rFonts w:hint="eastAsia" w:ascii="仿宋_GB2312" w:hAnsi="仿宋_GB2312" w:eastAsia="仿宋_GB2312" w:cs="仿宋_GB2312"/>
          <w:b w:val="0"/>
          <w:bCs w:val="0"/>
          <w:color w:val="000000"/>
          <w:sz w:val="32"/>
          <w:szCs w:val="32"/>
          <w:lang w:val="en-US" w:eastAsia="zh-CN"/>
        </w:rPr>
        <w:t>政务服务事项</w:t>
      </w:r>
      <w:r>
        <w:rPr>
          <w:rFonts w:hint="eastAsia" w:ascii="仿宋_GB2312" w:hAnsi="仿宋_GB2312" w:eastAsia="仿宋_GB2312" w:cs="仿宋_GB2312"/>
          <w:sz w:val="32"/>
          <w:lang w:val="en-US" w:eastAsia="zh-CN"/>
        </w:rPr>
        <w:t>“一网通办”“一窗受理”“一次办好”，在推进机关依申请政务服务事项全部入驻大厅的基础上，优化配套服务指南、业务手册和零基础模板，持续</w:t>
      </w:r>
      <w:r>
        <w:rPr>
          <w:rFonts w:hint="eastAsia" w:ascii="仿宋_GB2312" w:hAnsi="仿宋_GB2312" w:eastAsia="仿宋_GB2312" w:cs="仿宋_GB2312"/>
          <w:b w:val="0"/>
          <w:bCs w:val="0"/>
          <w:color w:val="000000"/>
          <w:sz w:val="32"/>
          <w:szCs w:val="32"/>
          <w:lang w:val="en-US" w:eastAsia="zh-CN"/>
        </w:rPr>
        <w:t>提升依申请政务服务事项网办率和办理覆盖率。（</w:t>
      </w:r>
      <w:r>
        <w:rPr>
          <w:rFonts w:hint="eastAsia" w:ascii="楷体_GB2312" w:hAnsi="楷体_GB2312" w:eastAsia="楷体_GB2312" w:cs="楷体_GB2312"/>
          <w:b w:val="0"/>
          <w:bCs w:val="0"/>
          <w:color w:val="000000"/>
          <w:sz w:val="32"/>
          <w:szCs w:val="32"/>
          <w:lang w:val="en-US" w:eastAsia="zh-CN"/>
        </w:rPr>
        <w:t>责任科室：民爆器材科、规划与技术改造科、综合法规科</w:t>
      </w:r>
      <w:r>
        <w:rPr>
          <w:rFonts w:hint="eastAsia" w:ascii="仿宋_GB2312" w:hAnsi="仿宋_GB2312" w:eastAsia="仿宋_GB2312" w:cs="仿宋_GB2312"/>
          <w:b w:val="0"/>
          <w:bCs w:val="0"/>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color w:val="000000"/>
          <w:sz w:val="32"/>
          <w:szCs w:val="32"/>
          <w:lang w:val="en-US" w:eastAsia="zh-CN"/>
        </w:rPr>
      </w:pPr>
      <w:r>
        <w:rPr>
          <w:rFonts w:hint="eastAsia" w:ascii="Times New Roman" w:hAnsi="Times New Roman" w:eastAsia="仿宋_GB2312" w:cs="Times New Roman"/>
          <w:b/>
          <w:bCs/>
          <w:sz w:val="32"/>
          <w:lang w:val="en-US" w:eastAsia="zh-CN"/>
        </w:rPr>
        <w:t>3.</w:t>
      </w:r>
      <w:r>
        <w:rPr>
          <w:rFonts w:hint="eastAsia" w:ascii="仿宋_GB2312" w:hAnsi="仿宋_GB2312" w:eastAsia="仿宋_GB2312" w:cs="仿宋_GB2312"/>
          <w:sz w:val="32"/>
          <w:lang w:val="en-US" w:eastAsia="zh-CN"/>
        </w:rPr>
        <w:t>针对“工业企业技改投资项目备案”事项</w:t>
      </w:r>
      <w:r>
        <w:rPr>
          <w:rFonts w:hint="eastAsia" w:ascii="仿宋_GB2312" w:hAnsi="仿宋_GB2312" w:eastAsia="仿宋_GB2312" w:cs="仿宋_GB2312"/>
          <w:b w:val="0"/>
          <w:bCs w:val="0"/>
          <w:color w:val="000000"/>
          <w:sz w:val="32"/>
          <w:szCs w:val="32"/>
          <w:lang w:val="en-US" w:eastAsia="zh-CN"/>
        </w:rPr>
        <w:t>，有效衔接行政审批服务部门，做好事中事后监管。（</w:t>
      </w:r>
      <w:r>
        <w:rPr>
          <w:rFonts w:hint="eastAsia" w:ascii="楷体_GB2312" w:hAnsi="楷体_GB2312" w:eastAsia="楷体_GB2312" w:cs="楷体_GB2312"/>
          <w:b w:val="0"/>
          <w:bCs w:val="0"/>
          <w:color w:val="000000"/>
          <w:sz w:val="32"/>
          <w:szCs w:val="32"/>
          <w:lang w:val="en-US" w:eastAsia="zh-CN"/>
        </w:rPr>
        <w:t>责任科室：规划与技术改造科</w:t>
      </w:r>
      <w:r>
        <w:rPr>
          <w:rFonts w:hint="eastAsia" w:ascii="仿宋_GB2312" w:hAnsi="仿宋_GB2312" w:eastAsia="仿宋_GB2312" w:cs="仿宋_GB2312"/>
          <w:b w:val="0"/>
          <w:bCs w:val="0"/>
          <w:color w:val="000000"/>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val="0"/>
          <w:bCs w:val="0"/>
          <w:color w:val="000000"/>
          <w:sz w:val="32"/>
          <w:szCs w:val="32"/>
          <w:lang w:val="en-US" w:eastAsia="zh-CN"/>
        </w:rPr>
      </w:pPr>
      <w:r>
        <w:rPr>
          <w:rFonts w:hint="eastAsia" w:ascii="Times New Roman" w:hAnsi="Times New Roman" w:eastAsia="仿宋_GB2312" w:cs="Times New Roman"/>
          <w:b/>
          <w:bCs/>
          <w:sz w:val="32"/>
          <w:lang w:val="en-US" w:eastAsia="zh-CN"/>
        </w:rPr>
        <w:t>4.</w:t>
      </w:r>
      <w:r>
        <w:rPr>
          <w:rFonts w:hint="eastAsia" w:ascii="仿宋_GB2312" w:hAnsi="仿宋_GB2312" w:eastAsia="仿宋_GB2312" w:cs="仿宋_GB2312"/>
          <w:b w:val="0"/>
          <w:bCs w:val="0"/>
          <w:color w:val="000000"/>
          <w:sz w:val="32"/>
          <w:szCs w:val="32"/>
          <w:lang w:val="en-US" w:eastAsia="zh-CN"/>
        </w:rPr>
        <w:t>实行容缺受理告知承诺制。变“申请材料齐全且符合法定形式后再受理”的传统审批模式为“边受理边完善材料”的容缺受理模式，</w:t>
      </w:r>
      <w:r>
        <w:rPr>
          <w:rFonts w:hint="eastAsia" w:ascii="仿宋_GB2312" w:hAnsi="仿宋_GB2312" w:eastAsia="仿宋_GB2312" w:cs="仿宋_GB2312"/>
          <w:sz w:val="32"/>
          <w:lang w:val="en-US" w:eastAsia="zh-CN"/>
        </w:rPr>
        <w:t>完善工信领域依申请政务服务“容缺受理”“告知承诺”事项清单，扎实推进流程再造改革，深入推进政府职能转变和“放管服”改革。</w:t>
      </w:r>
      <w:r>
        <w:rPr>
          <w:rFonts w:hint="eastAsia" w:ascii="楷体_GB2312" w:hAnsi="楷体_GB2312" w:eastAsia="楷体_GB2312" w:cs="楷体_GB2312"/>
          <w:b w:val="0"/>
          <w:bCs w:val="0"/>
          <w:color w:val="000000"/>
          <w:sz w:val="32"/>
          <w:szCs w:val="32"/>
          <w:lang w:val="en-US" w:eastAsia="zh-CN"/>
        </w:rPr>
        <w:t>（责任科室：民爆器材科、综合法规科）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val="0"/>
          <w:bCs w:val="0"/>
          <w:color w:val="000000"/>
          <w:sz w:val="32"/>
          <w:szCs w:val="32"/>
          <w:lang w:val="en-US" w:eastAsia="zh-CN"/>
        </w:rPr>
      </w:pPr>
      <w:r>
        <w:rPr>
          <w:rFonts w:hint="eastAsia" w:ascii="Times New Roman" w:hAnsi="Times New Roman" w:eastAsia="仿宋_GB2312" w:cs="Times New Roman"/>
          <w:b/>
          <w:bCs/>
          <w:sz w:val="32"/>
          <w:lang w:val="en-US" w:eastAsia="zh-CN"/>
        </w:rPr>
        <w:t>5.</w:t>
      </w:r>
      <w:r>
        <w:rPr>
          <w:rFonts w:hint="eastAsia" w:ascii="仿宋_GB2312" w:hAnsi="仿宋_GB2312" w:eastAsia="仿宋_GB2312" w:cs="仿宋_GB2312"/>
          <w:sz w:val="32"/>
          <w:lang w:val="en-US" w:eastAsia="zh-CN"/>
        </w:rPr>
        <w:t>配合行政审批部门，</w:t>
      </w:r>
      <w:r>
        <w:rPr>
          <w:rFonts w:hint="eastAsia" w:ascii="仿宋_GB2312" w:hAnsi="仿宋_GB2312" w:eastAsia="仿宋_GB2312" w:cs="仿宋_GB2312"/>
          <w:b w:val="0"/>
          <w:bCs w:val="0"/>
          <w:color w:val="000000"/>
          <w:sz w:val="32"/>
          <w:szCs w:val="32"/>
          <w:lang w:val="en-US" w:eastAsia="zh-CN"/>
        </w:rPr>
        <w:t>推进政务服务事项“跨省通办”“省内通办”，进一步提升政务服务便捷度，不断增强企业和群众的获得感。</w:t>
      </w:r>
      <w:r>
        <w:rPr>
          <w:rFonts w:hint="eastAsia" w:ascii="楷体_GB2312" w:hAnsi="楷体_GB2312" w:eastAsia="楷体_GB2312" w:cs="楷体_GB2312"/>
          <w:b w:val="0"/>
          <w:bCs w:val="0"/>
          <w:color w:val="000000"/>
          <w:sz w:val="32"/>
          <w:szCs w:val="32"/>
          <w:lang w:val="en-US" w:eastAsia="zh-CN"/>
        </w:rPr>
        <w:t>（责任科室：信息产业科、规划与技术改造科、综合法规科）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楷体_GB2312" w:hAnsi="楷体_GB2312" w:eastAsia="楷体_GB2312" w:cs="楷体_GB2312"/>
          <w:b w:val="0"/>
          <w:bCs w:val="0"/>
          <w:color w:val="000000"/>
          <w:sz w:val="32"/>
          <w:szCs w:val="32"/>
          <w:lang w:val="en-US" w:eastAsia="zh-CN"/>
        </w:rPr>
      </w:pPr>
      <w:r>
        <w:rPr>
          <w:rFonts w:hint="eastAsia" w:ascii="Times New Roman" w:hAnsi="Times New Roman" w:eastAsia="仿宋_GB2312" w:cs="Times New Roman"/>
          <w:b/>
          <w:bCs/>
          <w:sz w:val="32"/>
          <w:lang w:val="en-US" w:eastAsia="zh-CN"/>
        </w:rPr>
        <w:t>6.</w:t>
      </w:r>
      <w:r>
        <w:rPr>
          <w:rFonts w:hint="eastAsia" w:ascii="仿宋_GB2312" w:hAnsi="仿宋_GB2312" w:eastAsia="仿宋_GB2312" w:cs="仿宋_GB2312"/>
          <w:sz w:val="32"/>
          <w:lang w:val="en-US" w:eastAsia="zh-CN"/>
        </w:rPr>
        <w:t>配合行政审批部门，全力打造“无证明城市”；并按照上级要求开展证明事项自查清理工作。</w:t>
      </w:r>
      <w:r>
        <w:rPr>
          <w:rFonts w:hint="eastAsia" w:ascii="楷体_GB2312" w:hAnsi="楷体_GB2312" w:eastAsia="楷体_GB2312" w:cs="楷体_GB2312"/>
          <w:b w:val="0"/>
          <w:bCs w:val="0"/>
          <w:color w:val="000000"/>
          <w:sz w:val="32"/>
          <w:szCs w:val="32"/>
          <w:lang w:val="en-US" w:eastAsia="zh-CN"/>
        </w:rPr>
        <w:t>（牵头科室：综合法规科，责任科室：各业务科室）</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sz w:val="32"/>
          <w:lang w:val="en-US" w:eastAsia="zh-CN"/>
        </w:rPr>
      </w:pPr>
      <w:r>
        <w:rPr>
          <w:rFonts w:hint="eastAsia" w:ascii="楷体_GB2312" w:hAnsi="楷体_GB2312" w:eastAsia="楷体_GB2312" w:cs="楷体_GB2312"/>
          <w:b/>
          <w:bCs/>
          <w:sz w:val="32"/>
          <w:lang w:val="en-US" w:eastAsia="zh-CN"/>
        </w:rPr>
        <w:t>（二）在打造工信领域平等有序市场环境上攻坚突破</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val="0"/>
          <w:bCs w:val="0"/>
          <w:color w:val="000000"/>
          <w:sz w:val="32"/>
          <w:szCs w:val="32"/>
          <w:lang w:val="en-US" w:eastAsia="zh-CN"/>
        </w:rPr>
      </w:pPr>
      <w:r>
        <w:rPr>
          <w:rFonts w:hint="eastAsia" w:ascii="Times New Roman" w:hAnsi="Times New Roman" w:eastAsia="仿宋_GB2312" w:cs="Times New Roman"/>
          <w:b/>
          <w:bCs/>
          <w:sz w:val="32"/>
          <w:lang w:val="en-US" w:eastAsia="zh-CN"/>
        </w:rPr>
        <w:t>7.</w:t>
      </w:r>
      <w:r>
        <w:rPr>
          <w:rFonts w:hint="eastAsia" w:ascii="仿宋_GB2312" w:hAnsi="仿宋_GB2312" w:eastAsia="仿宋_GB2312" w:cs="仿宋_GB2312"/>
          <w:sz w:val="32"/>
          <w:lang w:val="en-US" w:eastAsia="zh-CN"/>
        </w:rPr>
        <w:t>配合有关部门做好市场准入负面清单的信息完善和公开工作，推动放宽市场准入门槛，及时发现并推动破除各种形式的市场准入不合理限制和隐性壁垒。</w:t>
      </w:r>
      <w:r>
        <w:rPr>
          <w:rFonts w:hint="eastAsia" w:ascii="楷体_GB2312" w:hAnsi="楷体_GB2312" w:eastAsia="楷体_GB2312" w:cs="楷体_GB2312"/>
          <w:b w:val="0"/>
          <w:bCs w:val="0"/>
          <w:color w:val="000000"/>
          <w:sz w:val="32"/>
          <w:szCs w:val="32"/>
          <w:lang w:val="en-US" w:eastAsia="zh-CN"/>
        </w:rPr>
        <w:t>（牵头科室：综合法规科，责任科室：各业务科室）</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val="0"/>
          <w:bCs w:val="0"/>
          <w:color w:val="000000"/>
          <w:sz w:val="32"/>
          <w:szCs w:val="32"/>
          <w:lang w:val="en-US" w:eastAsia="zh-CN"/>
        </w:rPr>
      </w:pPr>
      <w:r>
        <w:rPr>
          <w:rFonts w:hint="eastAsia" w:ascii="Times New Roman" w:hAnsi="Times New Roman" w:eastAsia="仿宋_GB2312" w:cs="Times New Roman"/>
          <w:b/>
          <w:bCs/>
          <w:sz w:val="32"/>
          <w:lang w:val="en-US" w:eastAsia="zh-CN"/>
        </w:rPr>
        <w:t>8.</w:t>
      </w:r>
      <w:r>
        <w:rPr>
          <w:rFonts w:hint="eastAsia" w:ascii="仿宋_GB2312" w:hAnsi="仿宋_GB2312" w:eastAsia="仿宋_GB2312" w:cs="仿宋_GB2312"/>
          <w:sz w:val="32"/>
          <w:lang w:val="en-US" w:eastAsia="zh-CN"/>
        </w:rPr>
        <w:t>加快清理废除妨碍统一市场形成和公平竞争的各种政策和规范性文件，保障市场竞争合理有序。</w:t>
      </w:r>
      <w:r>
        <w:rPr>
          <w:rFonts w:hint="eastAsia" w:ascii="楷体_GB2312" w:hAnsi="楷体_GB2312" w:eastAsia="楷体_GB2312" w:cs="楷体_GB2312"/>
          <w:b w:val="0"/>
          <w:bCs w:val="0"/>
          <w:color w:val="000000"/>
          <w:sz w:val="32"/>
          <w:szCs w:val="32"/>
          <w:lang w:val="en-US" w:eastAsia="zh-CN"/>
        </w:rPr>
        <w:t>（牵头科室：综合法规科、办公室，责任科室：各业务科室）</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楷体_GB2312" w:hAnsi="楷体_GB2312" w:eastAsia="楷体_GB2312" w:cs="楷体_GB2312"/>
          <w:b/>
          <w:bCs/>
          <w:sz w:val="32"/>
          <w:lang w:val="en-US" w:eastAsia="zh-CN"/>
        </w:rPr>
      </w:pPr>
      <w:r>
        <w:rPr>
          <w:rFonts w:hint="eastAsia" w:ascii="Times New Roman" w:hAnsi="Times New Roman" w:eastAsia="仿宋_GB2312" w:cs="Times New Roman"/>
          <w:b/>
          <w:bCs/>
          <w:sz w:val="32"/>
          <w:lang w:val="en-US" w:eastAsia="zh-CN"/>
        </w:rPr>
        <w:t>9.</w:t>
      </w:r>
      <w:r>
        <w:rPr>
          <w:rFonts w:hint="eastAsia" w:ascii="仿宋_GB2312" w:hAnsi="仿宋_GB2312" w:eastAsia="仿宋_GB2312" w:cs="仿宋_GB2312"/>
          <w:sz w:val="32"/>
          <w:lang w:val="en-US" w:eastAsia="zh-CN"/>
        </w:rPr>
        <w:t>积极参与守信联合奖励行动，对信用状况良好的市场主体给予政策支持，全面落实对失信被执行人的联合惩戒措施；每月按时填报《加强政务诚信建设实施方案推进情况工作台账》</w:t>
      </w:r>
      <w:r>
        <w:rPr>
          <w:rFonts w:hint="eastAsia" w:ascii="仿宋_GB2312" w:hAnsi="仿宋_GB2312" w:eastAsia="仿宋_GB2312" w:cs="仿宋_GB2312"/>
          <w:b w:val="0"/>
          <w:bCs w:val="0"/>
          <w:color w:val="000000"/>
          <w:sz w:val="32"/>
          <w:szCs w:val="32"/>
          <w:lang w:val="en-US" w:eastAsia="zh-CN"/>
        </w:rPr>
        <w:t>。</w:t>
      </w:r>
      <w:r>
        <w:rPr>
          <w:rFonts w:hint="eastAsia" w:ascii="楷体_GB2312" w:hAnsi="楷体_GB2312" w:eastAsia="楷体_GB2312" w:cs="楷体_GB2312"/>
          <w:b w:val="0"/>
          <w:bCs w:val="0"/>
          <w:color w:val="000000"/>
          <w:sz w:val="32"/>
          <w:szCs w:val="32"/>
          <w:lang w:val="en-US" w:eastAsia="zh-CN"/>
        </w:rPr>
        <w:t>（牵头科室：综合法规科、非公经济（中小企业）发展科，责任科室：各业务科室）</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楷体_GB2312" w:hAnsi="楷体_GB2312" w:eastAsia="楷体_GB2312" w:cs="楷体_GB2312"/>
          <w:b/>
          <w:bCs/>
          <w:sz w:val="32"/>
          <w:lang w:val="en-US" w:eastAsia="zh-CN"/>
        </w:rPr>
      </w:pPr>
      <w:r>
        <w:rPr>
          <w:rFonts w:hint="eastAsia" w:ascii="Times New Roman" w:hAnsi="Times New Roman" w:eastAsia="仿宋_GB2312" w:cs="Times New Roman"/>
          <w:b/>
          <w:bCs/>
          <w:sz w:val="32"/>
          <w:lang w:val="en-US" w:eastAsia="zh-CN"/>
        </w:rPr>
        <w:t>10.</w:t>
      </w:r>
      <w:r>
        <w:rPr>
          <w:rFonts w:hint="eastAsia" w:ascii="仿宋_GB2312" w:hAnsi="仿宋_GB2312" w:eastAsia="仿宋_GB2312" w:cs="仿宋_GB2312"/>
          <w:sz w:val="32"/>
          <w:lang w:val="en-US" w:eastAsia="zh-CN"/>
        </w:rPr>
        <w:t>配合市场监管部门</w:t>
      </w:r>
      <w:r>
        <w:rPr>
          <w:rFonts w:hint="default" w:ascii="仿宋_GB2312" w:hAnsi="仿宋_GB2312" w:eastAsia="仿宋_GB2312" w:cs="仿宋_GB2312"/>
          <w:sz w:val="32"/>
          <w:lang w:val="en-US" w:eastAsia="zh-CN"/>
        </w:rPr>
        <w:t>推进“互联网＋监管”工作常态化</w:t>
      </w:r>
      <w:r>
        <w:rPr>
          <w:rFonts w:hint="eastAsia" w:ascii="仿宋_GB2312" w:hAnsi="仿宋_GB2312" w:eastAsia="仿宋_GB2312" w:cs="仿宋_GB2312"/>
          <w:sz w:val="32"/>
          <w:lang w:val="en-US" w:eastAsia="zh-CN"/>
        </w:rPr>
        <w:t>，持续完善“双随机一公开”监管机制，全面提升监管数据录入的全面性、及时性和准确性，提高监管数据录入质量。</w:t>
      </w:r>
      <w:r>
        <w:rPr>
          <w:rFonts w:hint="eastAsia" w:ascii="楷体_GB2312" w:hAnsi="楷体_GB2312" w:eastAsia="楷体_GB2312" w:cs="楷体_GB2312"/>
          <w:b w:val="0"/>
          <w:bCs w:val="0"/>
          <w:color w:val="000000"/>
          <w:sz w:val="32"/>
          <w:szCs w:val="32"/>
          <w:lang w:val="en-US" w:eastAsia="zh-CN"/>
        </w:rPr>
        <w:t>（责任科室：民爆器材科、消费品产业科、综合法规科）</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jc w:val="both"/>
        <w:textAlignment w:val="auto"/>
        <w:rPr>
          <w:rFonts w:hint="default" w:ascii="楷体_GB2312" w:hAnsi="楷体_GB2312" w:eastAsia="楷体_GB2312" w:cs="楷体_GB2312"/>
          <w:b/>
          <w:bCs/>
          <w:sz w:val="32"/>
          <w:lang w:val="en-US" w:eastAsia="zh-CN"/>
        </w:rPr>
      </w:pPr>
      <w:r>
        <w:rPr>
          <w:rFonts w:hint="eastAsia" w:ascii="楷体_GB2312" w:hAnsi="楷体_GB2312" w:eastAsia="楷体_GB2312" w:cs="楷体_GB2312"/>
          <w:b/>
          <w:bCs/>
          <w:sz w:val="32"/>
          <w:lang w:val="en-US" w:eastAsia="zh-CN"/>
        </w:rPr>
        <w:t>在打造工信领域公平稳定法治环境上攻坚突破</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楷体_GB2312" w:hAnsi="楷体_GB2312" w:eastAsia="楷体_GB2312" w:cs="楷体_GB2312"/>
          <w:b w:val="0"/>
          <w:bCs w:val="0"/>
          <w:color w:val="000000"/>
          <w:sz w:val="32"/>
          <w:szCs w:val="32"/>
          <w:lang w:val="en-US" w:eastAsia="zh-CN"/>
        </w:rPr>
      </w:pPr>
      <w:r>
        <w:rPr>
          <w:rFonts w:hint="eastAsia" w:ascii="Times New Roman" w:hAnsi="Times New Roman" w:eastAsia="仿宋_GB2312" w:cs="Times New Roman"/>
          <w:b/>
          <w:bCs/>
          <w:sz w:val="32"/>
          <w:lang w:val="en-US" w:eastAsia="zh-CN"/>
        </w:rPr>
        <w:t>11.</w:t>
      </w:r>
      <w:r>
        <w:rPr>
          <w:rFonts w:hint="default" w:ascii="仿宋_GB2312" w:hAnsi="仿宋_GB2312" w:eastAsia="仿宋_GB2312" w:cs="仿宋_GB2312"/>
          <w:sz w:val="32"/>
          <w:lang w:val="en-US" w:eastAsia="zh-CN"/>
        </w:rPr>
        <w:t>加强行政执法人员培训和管理，提高执法人员执法能力</w:t>
      </w:r>
      <w:r>
        <w:rPr>
          <w:rFonts w:hint="eastAsia" w:ascii="仿宋_GB2312" w:hAnsi="仿宋_GB2312" w:eastAsia="仿宋_GB2312" w:cs="仿宋_GB2312"/>
          <w:sz w:val="32"/>
          <w:lang w:val="en-US" w:eastAsia="zh-CN"/>
        </w:rPr>
        <w:t>；</w:t>
      </w:r>
      <w:r>
        <w:rPr>
          <w:rFonts w:hint="default" w:ascii="仿宋_GB2312" w:hAnsi="仿宋_GB2312" w:eastAsia="仿宋_GB2312" w:cs="仿宋_GB2312"/>
          <w:sz w:val="32"/>
          <w:lang w:val="en-US" w:eastAsia="zh-CN"/>
        </w:rPr>
        <w:t>精细化落实行政执法公示、执法全过程记录、重大执法决定法制审核三项制度</w:t>
      </w:r>
      <w:r>
        <w:rPr>
          <w:rFonts w:hint="eastAsia" w:ascii="仿宋_GB2312" w:hAnsi="仿宋_GB2312" w:eastAsia="仿宋_GB2312" w:cs="仿宋_GB2312"/>
          <w:sz w:val="32"/>
          <w:lang w:val="en-US" w:eastAsia="zh-CN"/>
        </w:rPr>
        <w:t>；</w:t>
      </w:r>
      <w:r>
        <w:rPr>
          <w:rFonts w:hint="eastAsia" w:ascii="仿宋_GB2312" w:hAnsi="仿宋_GB2312" w:eastAsia="仿宋_GB2312" w:cs="仿宋_GB2312"/>
          <w:b w:val="0"/>
          <w:bCs w:val="0"/>
          <w:color w:val="000000"/>
          <w:sz w:val="32"/>
          <w:szCs w:val="32"/>
          <w:lang w:val="en-US" w:eastAsia="zh-CN"/>
        </w:rPr>
        <w:t>在执行上级清单的基础上，动态调整“不罚”“轻罚”清单，对于符合法定条件的违法行为不予处罚或者减轻处罚。</w:t>
      </w:r>
      <w:r>
        <w:rPr>
          <w:rFonts w:hint="eastAsia" w:ascii="楷体_GB2312" w:hAnsi="楷体_GB2312" w:eastAsia="楷体_GB2312" w:cs="楷体_GB2312"/>
          <w:b w:val="0"/>
          <w:bCs w:val="0"/>
          <w:color w:val="000000"/>
          <w:sz w:val="32"/>
          <w:szCs w:val="32"/>
          <w:lang w:val="en-US" w:eastAsia="zh-CN"/>
        </w:rPr>
        <w:t>（牵头科室：综合法规科，责任科室：民爆器材科、消费品产业科、规划与技术改造科）</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lang w:val="en-US" w:eastAsia="zh-CN"/>
        </w:rPr>
      </w:pPr>
      <w:r>
        <w:rPr>
          <w:rFonts w:hint="eastAsia" w:ascii="Times New Roman" w:hAnsi="Times New Roman" w:eastAsia="仿宋_GB2312" w:cs="Times New Roman"/>
          <w:b/>
          <w:bCs/>
          <w:sz w:val="32"/>
          <w:lang w:val="en-US" w:eastAsia="zh-CN"/>
        </w:rPr>
        <w:t>12.</w:t>
      </w:r>
      <w:r>
        <w:rPr>
          <w:rFonts w:hint="default" w:ascii="仿宋_GB2312" w:hAnsi="仿宋_GB2312" w:eastAsia="仿宋_GB2312" w:cs="仿宋_GB2312"/>
          <w:sz w:val="32"/>
          <w:lang w:val="en-US" w:eastAsia="zh-CN"/>
        </w:rPr>
        <w:t>推动行政处罚（强制）权力事项网上运行，实现执法全过程公开透明、可追溯、可核查</w:t>
      </w:r>
      <w:r>
        <w:rPr>
          <w:rFonts w:hint="eastAsia" w:ascii="仿宋_GB2312" w:hAnsi="仿宋_GB2312" w:eastAsia="仿宋_GB2312" w:cs="仿宋_GB2312"/>
          <w:sz w:val="32"/>
          <w:lang w:val="en-US" w:eastAsia="zh-CN"/>
        </w:rPr>
        <w:t>。（</w:t>
      </w:r>
      <w:r>
        <w:rPr>
          <w:rFonts w:hint="eastAsia" w:ascii="楷体_GB2312" w:hAnsi="楷体_GB2312" w:eastAsia="楷体_GB2312" w:cs="楷体_GB2312"/>
          <w:b w:val="0"/>
          <w:bCs w:val="0"/>
          <w:color w:val="000000"/>
          <w:sz w:val="32"/>
          <w:szCs w:val="32"/>
          <w:lang w:val="en-US" w:eastAsia="zh-CN"/>
        </w:rPr>
        <w:t>牵头科室：综合法规科，责任科室：民爆器材科、消费品产业科、规划与技术改造科）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lang w:val="en-US" w:eastAsia="zh-CN"/>
        </w:rPr>
      </w:pPr>
      <w:r>
        <w:rPr>
          <w:rFonts w:hint="eastAsia" w:ascii="楷体_GB2312" w:hAnsi="楷体_GB2312" w:eastAsia="楷体_GB2312" w:cs="楷体_GB2312"/>
          <w:b/>
          <w:bCs/>
          <w:sz w:val="32"/>
          <w:lang w:val="en-US" w:eastAsia="zh-CN"/>
        </w:rPr>
        <w:t>（四）在打造工信领域优质便捷要素环境上攻坚突破</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val="0"/>
          <w:bCs w:val="0"/>
          <w:color w:val="000000"/>
          <w:sz w:val="32"/>
          <w:szCs w:val="32"/>
          <w:lang w:val="en-US" w:eastAsia="zh-CN"/>
        </w:rPr>
      </w:pPr>
      <w:r>
        <w:rPr>
          <w:rFonts w:hint="eastAsia" w:ascii="Times New Roman" w:hAnsi="Times New Roman" w:eastAsia="仿宋_GB2312" w:cs="Times New Roman"/>
          <w:b/>
          <w:bCs/>
          <w:sz w:val="32"/>
          <w:lang w:val="en-US" w:eastAsia="zh-CN"/>
        </w:rPr>
        <w:t>13</w:t>
      </w:r>
      <w:r>
        <w:rPr>
          <w:rFonts w:hint="eastAsia" w:ascii="仿宋_GB2312" w:hAnsi="仿宋_GB2312" w:eastAsia="仿宋_GB2312" w:cs="仿宋_GB2312"/>
          <w:sz w:val="32"/>
          <w:lang w:val="en-US" w:eastAsia="zh-CN"/>
        </w:rPr>
        <w:t>.深入推进“企呼政应、接诉即办”企业诉求解决工作机制，强化有解思维，全力破解企业发展难题。</w:t>
      </w:r>
      <w:r>
        <w:rPr>
          <w:rFonts w:hint="eastAsia" w:ascii="楷体_GB2312" w:hAnsi="楷体_GB2312" w:eastAsia="楷体_GB2312" w:cs="楷体_GB2312"/>
          <w:b w:val="0"/>
          <w:bCs w:val="0"/>
          <w:color w:val="000000"/>
          <w:sz w:val="32"/>
          <w:szCs w:val="32"/>
          <w:lang w:val="en-US" w:eastAsia="zh-CN"/>
        </w:rPr>
        <w:t>（牵头科室：综合法规科，责任科室：各业务科室）</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lang w:val="en-US" w:eastAsia="zh-CN"/>
        </w:rPr>
      </w:pPr>
      <w:r>
        <w:rPr>
          <w:rFonts w:hint="eastAsia" w:ascii="Times New Roman" w:hAnsi="Times New Roman" w:eastAsia="仿宋_GB2312" w:cs="Times New Roman"/>
          <w:b/>
          <w:bCs/>
          <w:sz w:val="32"/>
          <w:lang w:val="en-US" w:eastAsia="zh-CN"/>
        </w:rPr>
        <w:t>14.</w:t>
      </w:r>
      <w:r>
        <w:rPr>
          <w:rFonts w:hint="eastAsia" w:ascii="仿宋_GB2312" w:hAnsi="仿宋_GB2312" w:eastAsia="仿宋_GB2312" w:cs="仿宋_GB2312"/>
          <w:sz w:val="32"/>
          <w:lang w:val="en-US" w:eastAsia="zh-CN"/>
        </w:rPr>
        <w:t>依托市中小企业公共服务平台，探索“线上+线下”结合的方式为全市中小企业提供服务，不断激发中小企业发展潜能和市场活力。</w:t>
      </w:r>
      <w:r>
        <w:rPr>
          <w:rFonts w:hint="eastAsia" w:ascii="楷体_GB2312" w:hAnsi="楷体_GB2312" w:eastAsia="楷体_GB2312" w:cs="楷体_GB2312"/>
          <w:b w:val="0"/>
          <w:bCs w:val="0"/>
          <w:color w:val="000000"/>
          <w:sz w:val="32"/>
          <w:szCs w:val="32"/>
          <w:lang w:val="en-US" w:eastAsia="zh-CN"/>
        </w:rPr>
        <w:t>（牵头科室：非公经济发展科，责任科室：创新创业指导科、企业科）</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sz w:val="32"/>
          <w:lang w:val="en-US" w:eastAsia="zh-CN"/>
        </w:rPr>
      </w:pPr>
      <w:r>
        <w:rPr>
          <w:rFonts w:hint="eastAsia" w:ascii="Times New Roman" w:hAnsi="Times New Roman" w:eastAsia="仿宋_GB2312" w:cs="Times New Roman"/>
          <w:b/>
          <w:bCs/>
          <w:sz w:val="32"/>
          <w:lang w:val="en-US" w:eastAsia="zh-CN"/>
        </w:rPr>
        <w:t>15.</w:t>
      </w:r>
      <w:r>
        <w:rPr>
          <w:rFonts w:hint="eastAsia" w:ascii="仿宋_GB2312" w:hAnsi="仿宋_GB2312" w:eastAsia="仿宋_GB2312" w:cs="仿宋_GB2312"/>
          <w:sz w:val="32"/>
          <w:lang w:val="en-US" w:eastAsia="zh-CN"/>
        </w:rPr>
        <w:t>持续推进清理拖欠民营企业中小企业账款，聚力“全省民营经济高质量发展先进县”建设，助力民营经济高质量发展。（</w:t>
      </w:r>
      <w:r>
        <w:rPr>
          <w:rFonts w:hint="eastAsia" w:ascii="楷体_GB2312" w:hAnsi="楷体_GB2312" w:eastAsia="楷体_GB2312" w:cs="楷体_GB2312"/>
          <w:b w:val="0"/>
          <w:bCs w:val="0"/>
          <w:color w:val="000000"/>
          <w:sz w:val="32"/>
          <w:szCs w:val="32"/>
          <w:lang w:val="en-US" w:eastAsia="zh-CN"/>
        </w:rPr>
        <w:t>责任科室：非公经济（中小企业）发展科</w:t>
      </w:r>
      <w:r>
        <w:rPr>
          <w:rFonts w:hint="eastAsia" w:ascii="仿宋_GB2312" w:hAnsi="仿宋_GB2312" w:eastAsia="仿宋_GB2312" w:cs="仿宋_GB2312"/>
          <w:sz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val="0"/>
          <w:bCs w:val="0"/>
          <w:color w:val="000000"/>
          <w:sz w:val="32"/>
          <w:szCs w:val="32"/>
          <w:lang w:val="en-US" w:eastAsia="zh-CN"/>
        </w:rPr>
      </w:pPr>
      <w:r>
        <w:rPr>
          <w:rFonts w:hint="eastAsia" w:ascii="Times New Roman" w:hAnsi="Times New Roman" w:eastAsia="仿宋_GB2312" w:cs="Times New Roman"/>
          <w:b/>
          <w:bCs/>
          <w:sz w:val="32"/>
          <w:lang w:val="en-US" w:eastAsia="zh-CN"/>
        </w:rPr>
        <w:t>16.</w:t>
      </w:r>
      <w:r>
        <w:rPr>
          <w:rFonts w:hint="eastAsia" w:ascii="仿宋_GB2312" w:hAnsi="仿宋_GB2312" w:eastAsia="仿宋_GB2312" w:cs="仿宋_GB2312"/>
          <w:b w:val="0"/>
          <w:bCs w:val="0"/>
          <w:color w:val="000000"/>
          <w:sz w:val="32"/>
          <w:szCs w:val="32"/>
          <w:lang w:val="en-US" w:eastAsia="zh-CN"/>
        </w:rPr>
        <w:t>利用中小企业信用担保业务信息报送系统平台，督促融资担保机构积极开展融资担保业务，扩大小微企业融资担保业务规模、降低小微企业担保费率，加大对中小微企业的支持力度。</w:t>
      </w:r>
      <w:r>
        <w:rPr>
          <w:rFonts w:hint="eastAsia" w:ascii="楷体_GB2312" w:hAnsi="楷体_GB2312" w:eastAsia="楷体_GB2312" w:cs="楷体_GB2312"/>
          <w:b w:val="0"/>
          <w:bCs w:val="0"/>
          <w:color w:val="000000"/>
          <w:sz w:val="32"/>
          <w:szCs w:val="32"/>
          <w:lang w:val="en-US" w:eastAsia="zh-CN"/>
        </w:rPr>
        <w:t>（责任科室：创新创业指导科）</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sz w:val="32"/>
          <w:lang w:val="en-US" w:eastAsia="zh-CN"/>
        </w:rPr>
      </w:pPr>
      <w:r>
        <w:rPr>
          <w:rFonts w:hint="eastAsia" w:ascii="Times New Roman" w:hAnsi="Times New Roman" w:eastAsia="仿宋_GB2312" w:cs="Times New Roman"/>
          <w:b/>
          <w:bCs/>
          <w:sz w:val="32"/>
          <w:lang w:val="en-US" w:eastAsia="zh-CN"/>
        </w:rPr>
        <w:t>17.</w:t>
      </w:r>
      <w:r>
        <w:rPr>
          <w:rFonts w:hint="eastAsia" w:ascii="仿宋_GB2312" w:hAnsi="仿宋_GB2312" w:eastAsia="仿宋_GB2312" w:cs="仿宋_GB2312"/>
          <w:sz w:val="32"/>
          <w:lang w:val="en-US" w:eastAsia="zh-CN"/>
        </w:rPr>
        <w:t>大力弘扬企业家精神，积极评选表彰优秀企业家，在全市积极营造尊重企业、支持企业发展的浓厚氛围。</w:t>
      </w:r>
      <w:r>
        <w:rPr>
          <w:rFonts w:hint="eastAsia" w:ascii="楷体_GB2312" w:hAnsi="楷体_GB2312" w:eastAsia="楷体_GB2312" w:cs="楷体_GB2312"/>
          <w:b w:val="0"/>
          <w:bCs w:val="0"/>
          <w:color w:val="000000"/>
          <w:sz w:val="32"/>
          <w:szCs w:val="32"/>
          <w:lang w:val="en-US" w:eastAsia="zh-CN"/>
        </w:rPr>
        <w:t>（责任科室：企业科）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仿宋_GB2312" w:hAnsi="仿宋_GB2312" w:eastAsia="仿宋_GB2312" w:cs="仿宋_GB2312"/>
          <w:sz w:val="32"/>
          <w:lang w:val="en-US" w:eastAsia="zh-CN"/>
        </w:rPr>
      </w:pPr>
      <w:r>
        <w:rPr>
          <w:rFonts w:hint="eastAsia" w:ascii="Times New Roman" w:hAnsi="Times New Roman" w:eastAsia="仿宋_GB2312" w:cs="Times New Roman"/>
          <w:b/>
          <w:bCs/>
          <w:sz w:val="32"/>
          <w:lang w:val="en-US" w:eastAsia="zh-CN"/>
        </w:rPr>
        <w:t>18.</w:t>
      </w:r>
      <w:r>
        <w:rPr>
          <w:rFonts w:hint="eastAsia" w:ascii="仿宋_GB2312" w:hAnsi="仿宋_GB2312" w:eastAsia="仿宋_GB2312" w:cs="仿宋_GB2312"/>
          <w:b w:val="0"/>
          <w:bCs w:val="0"/>
          <w:color w:val="000000"/>
          <w:sz w:val="32"/>
          <w:szCs w:val="32"/>
          <w:lang w:val="en-US" w:eastAsia="zh-CN"/>
        </w:rPr>
        <w:t>加快工业领域创新平台建设，配合科技部门鼓励引导企业与高校院所联合建设各类创新平台，加快促进科技成果转移转化，积极组织企业申报“泰山产业领军人才”及各级人才工程。</w:t>
      </w:r>
      <w:r>
        <w:rPr>
          <w:rFonts w:hint="eastAsia" w:ascii="楷体_GB2312" w:hAnsi="楷体_GB2312" w:eastAsia="楷体_GB2312" w:cs="楷体_GB2312"/>
          <w:b w:val="0"/>
          <w:bCs w:val="0"/>
          <w:color w:val="000000"/>
          <w:sz w:val="32"/>
          <w:szCs w:val="32"/>
          <w:lang w:val="en-US" w:eastAsia="zh-CN"/>
        </w:rPr>
        <w:t>（责任科室：科技装备科、企业科）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三、保障措施</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宋体" w:eastAsia="仿宋_GB2312" w:cs="仿宋_GB2312"/>
          <w:color w:val="000000"/>
          <w:kern w:val="0"/>
          <w:sz w:val="32"/>
          <w:szCs w:val="32"/>
          <w:lang w:val="en-US" w:eastAsia="zh-CN" w:bidi="ar"/>
        </w:rPr>
      </w:pPr>
      <w:r>
        <w:rPr>
          <w:rFonts w:hint="default" w:ascii="楷体_GB2312" w:hAnsi="楷体_GB2312" w:eastAsia="楷体_GB2312" w:cs="楷体_GB2312"/>
          <w:b/>
          <w:bCs/>
          <w:sz w:val="32"/>
          <w:lang w:val="en-US" w:eastAsia="zh-CN"/>
        </w:rPr>
        <w:t>（一）加强领导，精心组织。</w:t>
      </w:r>
      <w:r>
        <w:rPr>
          <w:rFonts w:hint="eastAsia" w:ascii="仿宋_GB2312" w:hAnsi="宋体" w:eastAsia="仿宋_GB2312" w:cs="仿宋_GB2312"/>
          <w:color w:val="000000"/>
          <w:kern w:val="0"/>
          <w:sz w:val="32"/>
          <w:szCs w:val="32"/>
          <w:lang w:val="en-US" w:eastAsia="zh-CN" w:bidi="ar"/>
        </w:rPr>
        <w:t>切实将</w:t>
      </w:r>
      <w:r>
        <w:rPr>
          <w:rFonts w:hint="default" w:ascii="仿宋_GB2312" w:hAnsi="宋体" w:eastAsia="仿宋_GB2312" w:cs="仿宋_GB2312"/>
          <w:color w:val="000000"/>
          <w:kern w:val="0"/>
          <w:sz w:val="32"/>
          <w:szCs w:val="32"/>
          <w:lang w:val="en-US" w:eastAsia="zh-CN" w:bidi="ar"/>
        </w:rPr>
        <w:t>优化营商环境创新突破行动作为“一把手”工程来抓，</w:t>
      </w:r>
      <w:r>
        <w:rPr>
          <w:rFonts w:hint="eastAsia" w:ascii="仿宋_GB2312" w:hAnsi="宋体" w:eastAsia="仿宋_GB2312" w:cs="仿宋_GB2312"/>
          <w:color w:val="000000"/>
          <w:kern w:val="0"/>
          <w:sz w:val="32"/>
          <w:szCs w:val="32"/>
          <w:lang w:val="en-US" w:eastAsia="zh-CN" w:bidi="ar"/>
        </w:rPr>
        <w:t>形成主要领导负总责、分管领导直接抓、有关科室具体落实的工作机制，</w:t>
      </w:r>
      <w:r>
        <w:rPr>
          <w:rFonts w:hint="default" w:ascii="仿宋_GB2312" w:hAnsi="宋体" w:eastAsia="仿宋_GB2312" w:cs="仿宋_GB2312"/>
          <w:color w:val="000000"/>
          <w:kern w:val="0"/>
          <w:sz w:val="32"/>
          <w:szCs w:val="32"/>
          <w:lang w:val="en-US" w:eastAsia="zh-CN" w:bidi="ar"/>
        </w:rPr>
        <w:t>明确工作职责、任务和要求，确保优化营商环境工作落到实处。</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宋体" w:eastAsia="仿宋_GB2312" w:cs="仿宋_GB2312"/>
          <w:color w:val="000000"/>
          <w:kern w:val="0"/>
          <w:sz w:val="32"/>
          <w:szCs w:val="32"/>
          <w:lang w:val="en-US" w:eastAsia="zh-CN" w:bidi="ar"/>
        </w:rPr>
      </w:pPr>
      <w:r>
        <w:rPr>
          <w:rFonts w:hint="default" w:ascii="楷体_GB2312" w:hAnsi="楷体_GB2312" w:eastAsia="楷体_GB2312" w:cs="楷体_GB2312"/>
          <w:b/>
          <w:bCs/>
          <w:sz w:val="32"/>
          <w:lang w:val="en-US" w:eastAsia="zh-CN"/>
        </w:rPr>
        <w:t>（二）加大宣传，营造</w:t>
      </w:r>
      <w:r>
        <w:rPr>
          <w:rFonts w:hint="eastAsia" w:ascii="楷体_GB2312" w:hAnsi="楷体_GB2312" w:eastAsia="楷体_GB2312" w:cs="楷体_GB2312"/>
          <w:b/>
          <w:bCs/>
          <w:sz w:val="32"/>
          <w:lang w:val="en-US" w:eastAsia="zh-CN"/>
        </w:rPr>
        <w:t>氛围</w:t>
      </w:r>
      <w:r>
        <w:rPr>
          <w:rFonts w:hint="default" w:ascii="楷体_GB2312" w:hAnsi="楷体_GB2312" w:eastAsia="楷体_GB2312" w:cs="楷体_GB2312"/>
          <w:b/>
          <w:bCs/>
          <w:sz w:val="32"/>
          <w:lang w:val="en-US" w:eastAsia="zh-CN"/>
        </w:rPr>
        <w:t>。</w:t>
      </w:r>
      <w:r>
        <w:rPr>
          <w:rFonts w:hint="eastAsia" w:ascii="仿宋_GB2312" w:hAnsi="宋体" w:eastAsia="仿宋_GB2312" w:cs="仿宋_GB2312"/>
          <w:color w:val="000000"/>
          <w:kern w:val="0"/>
          <w:sz w:val="32"/>
          <w:szCs w:val="32"/>
          <w:lang w:val="en-US" w:eastAsia="zh-CN" w:bidi="ar"/>
        </w:rPr>
        <w:t>充分利用官方宣传媒体平台</w:t>
      </w:r>
      <w:r>
        <w:rPr>
          <w:rFonts w:hint="default" w:ascii="仿宋_GB2312" w:hAnsi="宋体" w:eastAsia="仿宋_GB2312" w:cs="仿宋_GB2312"/>
          <w:color w:val="000000"/>
          <w:kern w:val="0"/>
          <w:sz w:val="32"/>
          <w:szCs w:val="32"/>
          <w:lang w:val="en-US" w:eastAsia="zh-CN" w:bidi="ar"/>
        </w:rPr>
        <w:t>，</w:t>
      </w:r>
      <w:r>
        <w:rPr>
          <w:rFonts w:hint="eastAsia" w:ascii="仿宋_GB2312" w:hAnsi="宋体" w:eastAsia="仿宋_GB2312" w:cs="仿宋_GB2312"/>
          <w:color w:val="000000"/>
          <w:kern w:val="0"/>
          <w:sz w:val="32"/>
          <w:szCs w:val="32"/>
          <w:lang w:val="en-US" w:eastAsia="zh-CN" w:bidi="ar"/>
        </w:rPr>
        <w:t>多层次、多手段开展</w:t>
      </w:r>
      <w:r>
        <w:rPr>
          <w:rFonts w:hint="default" w:ascii="仿宋_GB2312" w:hAnsi="宋体" w:eastAsia="仿宋_GB2312" w:cs="仿宋_GB2312"/>
          <w:color w:val="000000"/>
          <w:kern w:val="0"/>
          <w:sz w:val="32"/>
          <w:szCs w:val="32"/>
          <w:lang w:val="en-US" w:eastAsia="zh-CN" w:bidi="ar"/>
        </w:rPr>
        <w:t>优化营商环境宣传工作</w:t>
      </w:r>
      <w:r>
        <w:rPr>
          <w:rFonts w:hint="eastAsia" w:ascii="仿宋_GB2312" w:hAnsi="宋体" w:eastAsia="仿宋_GB2312" w:cs="仿宋_GB2312"/>
          <w:color w:val="000000"/>
          <w:kern w:val="0"/>
          <w:sz w:val="32"/>
          <w:szCs w:val="32"/>
          <w:lang w:val="en-US" w:eastAsia="zh-CN" w:bidi="ar"/>
        </w:rPr>
        <w:t>，及时总结推广好的经验做法，接受社会监督，回应社会关切，营造良好的社会氛围。</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宋体" w:eastAsia="仿宋_GB2312" w:cs="仿宋_GB2312"/>
          <w:color w:val="000000"/>
          <w:kern w:val="0"/>
          <w:sz w:val="32"/>
          <w:szCs w:val="32"/>
          <w:lang w:val="en-US" w:eastAsia="zh-CN" w:bidi="ar"/>
        </w:rPr>
      </w:pPr>
      <w:r>
        <w:rPr>
          <w:rFonts w:hint="default" w:ascii="楷体_GB2312" w:hAnsi="楷体_GB2312" w:eastAsia="楷体_GB2312" w:cs="楷体_GB2312"/>
          <w:b/>
          <w:bCs/>
          <w:sz w:val="32"/>
          <w:lang w:val="en-US" w:eastAsia="zh-CN"/>
        </w:rPr>
        <w:t>（三）细化措施</w:t>
      </w:r>
      <w:r>
        <w:rPr>
          <w:rFonts w:hint="eastAsia" w:ascii="楷体_GB2312" w:hAnsi="楷体_GB2312" w:eastAsia="楷体_GB2312" w:cs="楷体_GB2312"/>
          <w:b/>
          <w:bCs/>
          <w:sz w:val="32"/>
          <w:lang w:val="en-US" w:eastAsia="zh-CN"/>
        </w:rPr>
        <w:t>，</w:t>
      </w:r>
      <w:r>
        <w:rPr>
          <w:rFonts w:hint="default" w:ascii="楷体_GB2312" w:hAnsi="楷体_GB2312" w:eastAsia="楷体_GB2312" w:cs="楷体_GB2312"/>
          <w:b/>
          <w:bCs/>
          <w:sz w:val="32"/>
          <w:lang w:val="en-US" w:eastAsia="zh-CN"/>
        </w:rPr>
        <w:t>统筹推进。</w:t>
      </w:r>
      <w:r>
        <w:rPr>
          <w:rFonts w:hint="default" w:ascii="仿宋_GB2312" w:hAnsi="宋体" w:eastAsia="仿宋_GB2312" w:cs="仿宋_GB2312"/>
          <w:color w:val="000000"/>
          <w:kern w:val="0"/>
          <w:sz w:val="32"/>
          <w:szCs w:val="32"/>
          <w:lang w:val="en-US" w:eastAsia="zh-CN" w:bidi="ar"/>
        </w:rPr>
        <w:t>加大统筹协调力度，深入企业认真开展</w:t>
      </w:r>
      <w:r>
        <w:rPr>
          <w:rFonts w:hint="eastAsia" w:ascii="仿宋_GB2312" w:hAnsi="宋体" w:eastAsia="仿宋_GB2312" w:cs="仿宋_GB2312"/>
          <w:color w:val="000000"/>
          <w:kern w:val="0"/>
          <w:sz w:val="32"/>
          <w:szCs w:val="32"/>
          <w:lang w:val="en-US" w:eastAsia="zh-CN" w:bidi="ar"/>
        </w:rPr>
        <w:t>调查</w:t>
      </w:r>
      <w:r>
        <w:rPr>
          <w:rFonts w:hint="default" w:ascii="仿宋_GB2312" w:hAnsi="宋体" w:eastAsia="仿宋_GB2312" w:cs="仿宋_GB2312"/>
          <w:color w:val="000000"/>
          <w:kern w:val="0"/>
          <w:sz w:val="32"/>
          <w:szCs w:val="32"/>
          <w:lang w:val="en-US" w:eastAsia="zh-CN" w:bidi="ar"/>
        </w:rPr>
        <w:t>研究，健全工作机制，</w:t>
      </w:r>
      <w:r>
        <w:rPr>
          <w:rFonts w:hint="eastAsia" w:ascii="仿宋_GB2312" w:hAnsi="宋体" w:eastAsia="仿宋_GB2312" w:cs="仿宋_GB2312"/>
          <w:color w:val="000000"/>
          <w:kern w:val="0"/>
          <w:sz w:val="32"/>
          <w:szCs w:val="32"/>
          <w:lang w:val="en-US" w:eastAsia="zh-CN" w:bidi="ar"/>
        </w:rPr>
        <w:t>建立工作台账，</w:t>
      </w:r>
      <w:r>
        <w:rPr>
          <w:rFonts w:hint="default" w:ascii="仿宋_GB2312" w:hAnsi="宋体" w:eastAsia="仿宋_GB2312" w:cs="仿宋_GB2312"/>
          <w:color w:val="000000"/>
          <w:kern w:val="0"/>
          <w:sz w:val="32"/>
          <w:szCs w:val="32"/>
          <w:lang w:val="en-US" w:eastAsia="zh-CN" w:bidi="ar"/>
        </w:rPr>
        <w:t>加强培训指导，强化监督检查，</w:t>
      </w:r>
      <w:r>
        <w:rPr>
          <w:rFonts w:hint="eastAsia" w:ascii="仿宋_GB2312" w:hAnsi="宋体" w:eastAsia="仿宋_GB2312" w:cs="仿宋_GB2312"/>
          <w:color w:val="000000"/>
          <w:kern w:val="0"/>
          <w:sz w:val="32"/>
          <w:szCs w:val="32"/>
          <w:lang w:val="en-US" w:eastAsia="zh-CN" w:bidi="ar"/>
        </w:rPr>
        <w:t>按照工作要求</w:t>
      </w:r>
      <w:r>
        <w:rPr>
          <w:rFonts w:hint="default" w:ascii="仿宋_GB2312" w:hAnsi="宋体" w:eastAsia="仿宋_GB2312" w:cs="仿宋_GB2312"/>
          <w:color w:val="000000"/>
          <w:kern w:val="0"/>
          <w:sz w:val="32"/>
          <w:szCs w:val="32"/>
          <w:lang w:val="en-US" w:eastAsia="zh-CN" w:bidi="ar"/>
        </w:rPr>
        <w:t>进一步细化措施，确保各项目标任务按照时间节点完成。</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宋体" w:eastAsia="仿宋_GB2312" w:cs="仿宋_GB2312"/>
          <w:color w:val="000000"/>
          <w:kern w:val="0"/>
          <w:sz w:val="32"/>
          <w:szCs w:val="32"/>
          <w:lang w:val="en-US" w:eastAsia="zh-CN" w:bidi="ar"/>
        </w:rPr>
      </w:pPr>
      <w:r>
        <w:rPr>
          <w:rFonts w:hint="default" w:ascii="楷体_GB2312" w:hAnsi="楷体_GB2312" w:eastAsia="楷体_GB2312" w:cs="楷体_GB2312"/>
          <w:b/>
          <w:bCs/>
          <w:sz w:val="32"/>
          <w:lang w:val="en-US" w:eastAsia="zh-CN"/>
        </w:rPr>
        <w:t>（四）锐意改革，开拓创新。</w:t>
      </w:r>
      <w:r>
        <w:rPr>
          <w:rFonts w:hint="default" w:ascii="仿宋_GB2312" w:hAnsi="宋体" w:eastAsia="仿宋_GB2312" w:cs="仿宋_GB2312"/>
          <w:color w:val="000000"/>
          <w:kern w:val="0"/>
          <w:sz w:val="32"/>
          <w:szCs w:val="32"/>
          <w:lang w:val="en-US" w:eastAsia="zh-CN" w:bidi="ar"/>
        </w:rPr>
        <w:t>按照有利于激发市场主体活力、有利于方便企业和群众办事、有利于促进工业经济发展的标准，最大限度地满足企业需要，通过改革创新，切实增强企业和群众的满意度。</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宋体" w:eastAsia="仿宋_GB2312" w:cs="仿宋_GB2312"/>
          <w:color w:val="000000"/>
          <w:kern w:val="0"/>
          <w:sz w:val="32"/>
          <w:szCs w:val="32"/>
          <w:lang w:val="en-US" w:eastAsia="zh-CN" w:bidi="ar"/>
        </w:rPr>
      </w:pPr>
      <w:r>
        <w:rPr>
          <w:rFonts w:hint="default" w:ascii="楷体_GB2312" w:hAnsi="楷体_GB2312" w:eastAsia="楷体_GB2312" w:cs="楷体_GB2312"/>
          <w:b/>
          <w:bCs/>
          <w:sz w:val="32"/>
          <w:lang w:val="en-US" w:eastAsia="zh-CN"/>
        </w:rPr>
        <w:t>（五）转变作风，强化问责。</w:t>
      </w:r>
      <w:r>
        <w:rPr>
          <w:rFonts w:hint="default" w:ascii="仿宋_GB2312" w:hAnsi="宋体" w:eastAsia="仿宋_GB2312" w:cs="仿宋_GB2312"/>
          <w:color w:val="000000"/>
          <w:kern w:val="0"/>
          <w:sz w:val="32"/>
          <w:szCs w:val="32"/>
          <w:lang w:val="en-US" w:eastAsia="zh-CN" w:bidi="ar"/>
        </w:rPr>
        <w:t>切实转变思想作风、工作作风，真心实意为</w:t>
      </w:r>
      <w:r>
        <w:rPr>
          <w:rFonts w:hint="eastAsia" w:ascii="仿宋_GB2312" w:hAnsi="宋体" w:eastAsia="仿宋_GB2312" w:cs="仿宋_GB2312"/>
          <w:color w:val="000000"/>
          <w:kern w:val="0"/>
          <w:sz w:val="32"/>
          <w:szCs w:val="32"/>
          <w:lang w:val="en-US" w:eastAsia="zh-CN" w:bidi="ar"/>
        </w:rPr>
        <w:t>企业</w:t>
      </w:r>
      <w:r>
        <w:rPr>
          <w:rFonts w:hint="default" w:ascii="仿宋_GB2312" w:hAnsi="宋体" w:eastAsia="仿宋_GB2312" w:cs="仿宋_GB2312"/>
          <w:color w:val="000000"/>
          <w:kern w:val="0"/>
          <w:sz w:val="32"/>
          <w:szCs w:val="32"/>
          <w:lang w:val="en-US" w:eastAsia="zh-CN" w:bidi="ar"/>
        </w:rPr>
        <w:t>服务。强化营商环境评价考核结果运用，严肃查处损害营商环境、不作为、慢作为、乱作为和不善为的行为，强化问责力度。</w:t>
      </w:r>
    </w:p>
    <w:sectPr>
      <w:pgSz w:w="11906" w:h="16838"/>
      <w:pgMar w:top="1587" w:right="1587" w:bottom="1587"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BE81D"/>
    <w:multiLevelType w:val="singleLevel"/>
    <w:tmpl w:val="784BE81D"/>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1A14CA"/>
    <w:rsid w:val="000024DA"/>
    <w:rsid w:val="001336DD"/>
    <w:rsid w:val="00246BFD"/>
    <w:rsid w:val="004F559E"/>
    <w:rsid w:val="00A307B1"/>
    <w:rsid w:val="00A91926"/>
    <w:rsid w:val="01066A48"/>
    <w:rsid w:val="010D669F"/>
    <w:rsid w:val="01192C1F"/>
    <w:rsid w:val="01687703"/>
    <w:rsid w:val="01784732"/>
    <w:rsid w:val="017A59C8"/>
    <w:rsid w:val="01A9031C"/>
    <w:rsid w:val="01DC47FC"/>
    <w:rsid w:val="020B6A0C"/>
    <w:rsid w:val="021358C1"/>
    <w:rsid w:val="021D0D94"/>
    <w:rsid w:val="023169E5"/>
    <w:rsid w:val="02465C4B"/>
    <w:rsid w:val="024822C7"/>
    <w:rsid w:val="026944AB"/>
    <w:rsid w:val="028F1509"/>
    <w:rsid w:val="02987B74"/>
    <w:rsid w:val="0307454F"/>
    <w:rsid w:val="03EB4FBD"/>
    <w:rsid w:val="03F51722"/>
    <w:rsid w:val="040748D9"/>
    <w:rsid w:val="04163446"/>
    <w:rsid w:val="04216269"/>
    <w:rsid w:val="04387860"/>
    <w:rsid w:val="043D09D3"/>
    <w:rsid w:val="045A77D7"/>
    <w:rsid w:val="04650D32"/>
    <w:rsid w:val="046825DE"/>
    <w:rsid w:val="04EF43C3"/>
    <w:rsid w:val="04FE15F6"/>
    <w:rsid w:val="0548762F"/>
    <w:rsid w:val="059D4F4A"/>
    <w:rsid w:val="059F550F"/>
    <w:rsid w:val="05A8641E"/>
    <w:rsid w:val="05A874FD"/>
    <w:rsid w:val="05D034CF"/>
    <w:rsid w:val="05EA2DDC"/>
    <w:rsid w:val="06356E17"/>
    <w:rsid w:val="06CC603E"/>
    <w:rsid w:val="06CF2BA2"/>
    <w:rsid w:val="06D507C8"/>
    <w:rsid w:val="06DE1BD4"/>
    <w:rsid w:val="06FE6B3F"/>
    <w:rsid w:val="070707AE"/>
    <w:rsid w:val="071416C4"/>
    <w:rsid w:val="07184FD0"/>
    <w:rsid w:val="07222102"/>
    <w:rsid w:val="074E1F75"/>
    <w:rsid w:val="07554868"/>
    <w:rsid w:val="07650326"/>
    <w:rsid w:val="078801B7"/>
    <w:rsid w:val="07CF6904"/>
    <w:rsid w:val="07ED22B3"/>
    <w:rsid w:val="082223BA"/>
    <w:rsid w:val="082609CD"/>
    <w:rsid w:val="082D1FA1"/>
    <w:rsid w:val="08405558"/>
    <w:rsid w:val="08585731"/>
    <w:rsid w:val="08710BF3"/>
    <w:rsid w:val="087F5A5E"/>
    <w:rsid w:val="08AE17D7"/>
    <w:rsid w:val="08CC45F8"/>
    <w:rsid w:val="08D43138"/>
    <w:rsid w:val="08D436EC"/>
    <w:rsid w:val="094465F1"/>
    <w:rsid w:val="094B3B92"/>
    <w:rsid w:val="09501183"/>
    <w:rsid w:val="095505E7"/>
    <w:rsid w:val="095B1EA0"/>
    <w:rsid w:val="09622C8A"/>
    <w:rsid w:val="098F44C1"/>
    <w:rsid w:val="099B09FA"/>
    <w:rsid w:val="09D35839"/>
    <w:rsid w:val="09D853A5"/>
    <w:rsid w:val="09E93BDF"/>
    <w:rsid w:val="0A106B58"/>
    <w:rsid w:val="0A192A23"/>
    <w:rsid w:val="0A225161"/>
    <w:rsid w:val="0A2C221F"/>
    <w:rsid w:val="0A4B5296"/>
    <w:rsid w:val="0A7D6630"/>
    <w:rsid w:val="0A8A0337"/>
    <w:rsid w:val="0AAC46CD"/>
    <w:rsid w:val="0ADD07F5"/>
    <w:rsid w:val="0AF5500B"/>
    <w:rsid w:val="0AF7137D"/>
    <w:rsid w:val="0B026519"/>
    <w:rsid w:val="0B046E24"/>
    <w:rsid w:val="0B0A3B2F"/>
    <w:rsid w:val="0B24124C"/>
    <w:rsid w:val="0B2A4141"/>
    <w:rsid w:val="0B4724DD"/>
    <w:rsid w:val="0B763970"/>
    <w:rsid w:val="0C04504D"/>
    <w:rsid w:val="0C665099"/>
    <w:rsid w:val="0C8C0749"/>
    <w:rsid w:val="0CBD5789"/>
    <w:rsid w:val="0CD81BE1"/>
    <w:rsid w:val="0CEE2F8C"/>
    <w:rsid w:val="0CF63204"/>
    <w:rsid w:val="0D073416"/>
    <w:rsid w:val="0D292BBE"/>
    <w:rsid w:val="0D445EA0"/>
    <w:rsid w:val="0D585003"/>
    <w:rsid w:val="0D7D26C9"/>
    <w:rsid w:val="0D8C3F2A"/>
    <w:rsid w:val="0DF7383C"/>
    <w:rsid w:val="0E1D6CBD"/>
    <w:rsid w:val="0E342E47"/>
    <w:rsid w:val="0E366B79"/>
    <w:rsid w:val="0E4911BF"/>
    <w:rsid w:val="0E63372C"/>
    <w:rsid w:val="0E8611C8"/>
    <w:rsid w:val="0E875C90"/>
    <w:rsid w:val="0EAC6872"/>
    <w:rsid w:val="0EB235F4"/>
    <w:rsid w:val="0ED27B21"/>
    <w:rsid w:val="0EF024FE"/>
    <w:rsid w:val="0F02074E"/>
    <w:rsid w:val="0F114F36"/>
    <w:rsid w:val="0F21370C"/>
    <w:rsid w:val="0F661726"/>
    <w:rsid w:val="0F9718DF"/>
    <w:rsid w:val="0FAC2EB1"/>
    <w:rsid w:val="0FB373A1"/>
    <w:rsid w:val="0FBC47CF"/>
    <w:rsid w:val="100035BA"/>
    <w:rsid w:val="10042CED"/>
    <w:rsid w:val="103548FD"/>
    <w:rsid w:val="10365FBB"/>
    <w:rsid w:val="10382597"/>
    <w:rsid w:val="103D7805"/>
    <w:rsid w:val="103D7E98"/>
    <w:rsid w:val="104024BB"/>
    <w:rsid w:val="105C4BF2"/>
    <w:rsid w:val="106663EC"/>
    <w:rsid w:val="10674F31"/>
    <w:rsid w:val="10841AC9"/>
    <w:rsid w:val="10B1077E"/>
    <w:rsid w:val="10E16F69"/>
    <w:rsid w:val="10EF3F50"/>
    <w:rsid w:val="114F4425"/>
    <w:rsid w:val="116E041E"/>
    <w:rsid w:val="11717F0E"/>
    <w:rsid w:val="11832C9C"/>
    <w:rsid w:val="11B81FE1"/>
    <w:rsid w:val="11EF0638"/>
    <w:rsid w:val="11FB4122"/>
    <w:rsid w:val="12245FAF"/>
    <w:rsid w:val="125F67E4"/>
    <w:rsid w:val="126D2DCB"/>
    <w:rsid w:val="12762BC4"/>
    <w:rsid w:val="12797E9E"/>
    <w:rsid w:val="128D0D77"/>
    <w:rsid w:val="128F2D41"/>
    <w:rsid w:val="12A22DAA"/>
    <w:rsid w:val="12B03523"/>
    <w:rsid w:val="12B77EC4"/>
    <w:rsid w:val="12CF697F"/>
    <w:rsid w:val="12EF3EDA"/>
    <w:rsid w:val="12F83560"/>
    <w:rsid w:val="13021493"/>
    <w:rsid w:val="135A41DF"/>
    <w:rsid w:val="136E0704"/>
    <w:rsid w:val="13AE38E1"/>
    <w:rsid w:val="13C94031"/>
    <w:rsid w:val="13EB3FA7"/>
    <w:rsid w:val="13EB4F96"/>
    <w:rsid w:val="13F86621"/>
    <w:rsid w:val="14103A0E"/>
    <w:rsid w:val="142A553B"/>
    <w:rsid w:val="142E0338"/>
    <w:rsid w:val="145D4D8A"/>
    <w:rsid w:val="14695065"/>
    <w:rsid w:val="14C45289"/>
    <w:rsid w:val="14E8760F"/>
    <w:rsid w:val="14F25809"/>
    <w:rsid w:val="15454B14"/>
    <w:rsid w:val="15641126"/>
    <w:rsid w:val="156754CB"/>
    <w:rsid w:val="157D66F5"/>
    <w:rsid w:val="15EB55B4"/>
    <w:rsid w:val="15F31284"/>
    <w:rsid w:val="1600454E"/>
    <w:rsid w:val="16227A29"/>
    <w:rsid w:val="162F2B1B"/>
    <w:rsid w:val="166D1E8E"/>
    <w:rsid w:val="167209B0"/>
    <w:rsid w:val="16DE2058"/>
    <w:rsid w:val="16DF1D02"/>
    <w:rsid w:val="16F5338F"/>
    <w:rsid w:val="171657DF"/>
    <w:rsid w:val="17216AB0"/>
    <w:rsid w:val="17516817"/>
    <w:rsid w:val="17A41E33"/>
    <w:rsid w:val="17A96653"/>
    <w:rsid w:val="17B80644"/>
    <w:rsid w:val="17CF598E"/>
    <w:rsid w:val="17DE7C69"/>
    <w:rsid w:val="17EB6C6C"/>
    <w:rsid w:val="1816671D"/>
    <w:rsid w:val="183028D1"/>
    <w:rsid w:val="183E51D7"/>
    <w:rsid w:val="185A07A3"/>
    <w:rsid w:val="188108AE"/>
    <w:rsid w:val="189410B6"/>
    <w:rsid w:val="18C70B28"/>
    <w:rsid w:val="191511A6"/>
    <w:rsid w:val="192F0459"/>
    <w:rsid w:val="193857DB"/>
    <w:rsid w:val="19526877"/>
    <w:rsid w:val="19DC4392"/>
    <w:rsid w:val="19E52E7B"/>
    <w:rsid w:val="19E85593"/>
    <w:rsid w:val="1A0C2EC9"/>
    <w:rsid w:val="1A187AC0"/>
    <w:rsid w:val="1A261DF6"/>
    <w:rsid w:val="1A2D0134"/>
    <w:rsid w:val="1A56667A"/>
    <w:rsid w:val="1A6B53ED"/>
    <w:rsid w:val="1A9E383C"/>
    <w:rsid w:val="1ADA3D88"/>
    <w:rsid w:val="1ADD4F36"/>
    <w:rsid w:val="1B7178AB"/>
    <w:rsid w:val="1B851185"/>
    <w:rsid w:val="1B860A5A"/>
    <w:rsid w:val="1B8A6C6F"/>
    <w:rsid w:val="1BDA4082"/>
    <w:rsid w:val="1BEA00D9"/>
    <w:rsid w:val="1C656BD9"/>
    <w:rsid w:val="1C763794"/>
    <w:rsid w:val="1C866139"/>
    <w:rsid w:val="1CE77B48"/>
    <w:rsid w:val="1D1236ED"/>
    <w:rsid w:val="1D1502E7"/>
    <w:rsid w:val="1D3D56FA"/>
    <w:rsid w:val="1D5C7B62"/>
    <w:rsid w:val="1D790A53"/>
    <w:rsid w:val="1D8818E1"/>
    <w:rsid w:val="1DA05FD2"/>
    <w:rsid w:val="1DBA11F5"/>
    <w:rsid w:val="1E696975"/>
    <w:rsid w:val="1E766B63"/>
    <w:rsid w:val="1E8C7359"/>
    <w:rsid w:val="1E984D2C"/>
    <w:rsid w:val="1EAA5582"/>
    <w:rsid w:val="1EC16751"/>
    <w:rsid w:val="1EF17DA4"/>
    <w:rsid w:val="1EFC0024"/>
    <w:rsid w:val="1F303E90"/>
    <w:rsid w:val="1F7D3F22"/>
    <w:rsid w:val="1FA66ED3"/>
    <w:rsid w:val="1FEF3899"/>
    <w:rsid w:val="205C1258"/>
    <w:rsid w:val="20C76015"/>
    <w:rsid w:val="20D3029D"/>
    <w:rsid w:val="20D87733"/>
    <w:rsid w:val="21087ABA"/>
    <w:rsid w:val="21090163"/>
    <w:rsid w:val="212307D0"/>
    <w:rsid w:val="2133431D"/>
    <w:rsid w:val="21357730"/>
    <w:rsid w:val="21450638"/>
    <w:rsid w:val="21710889"/>
    <w:rsid w:val="21A517FB"/>
    <w:rsid w:val="21CF4843"/>
    <w:rsid w:val="21D1038F"/>
    <w:rsid w:val="21F9588F"/>
    <w:rsid w:val="22031C3A"/>
    <w:rsid w:val="220C2760"/>
    <w:rsid w:val="222B4109"/>
    <w:rsid w:val="22452A44"/>
    <w:rsid w:val="22743E8A"/>
    <w:rsid w:val="22814AF9"/>
    <w:rsid w:val="229B128E"/>
    <w:rsid w:val="22A6169F"/>
    <w:rsid w:val="22A66AF9"/>
    <w:rsid w:val="22A83271"/>
    <w:rsid w:val="22B440FE"/>
    <w:rsid w:val="22CB5549"/>
    <w:rsid w:val="22CE584C"/>
    <w:rsid w:val="22EC1E60"/>
    <w:rsid w:val="22F4634C"/>
    <w:rsid w:val="230175C4"/>
    <w:rsid w:val="2302130E"/>
    <w:rsid w:val="23262FA3"/>
    <w:rsid w:val="232F4A33"/>
    <w:rsid w:val="2332248A"/>
    <w:rsid w:val="23384D2F"/>
    <w:rsid w:val="237F7ACE"/>
    <w:rsid w:val="23897339"/>
    <w:rsid w:val="23A224FD"/>
    <w:rsid w:val="23AA13C4"/>
    <w:rsid w:val="23AE0B4E"/>
    <w:rsid w:val="23AE4FF1"/>
    <w:rsid w:val="23AF4FC1"/>
    <w:rsid w:val="23B930FD"/>
    <w:rsid w:val="23D507D0"/>
    <w:rsid w:val="23E82ECA"/>
    <w:rsid w:val="23F92574"/>
    <w:rsid w:val="24142959"/>
    <w:rsid w:val="243F5C4A"/>
    <w:rsid w:val="24427312"/>
    <w:rsid w:val="244D480A"/>
    <w:rsid w:val="248D10AB"/>
    <w:rsid w:val="248F097F"/>
    <w:rsid w:val="24D046C0"/>
    <w:rsid w:val="24D716AE"/>
    <w:rsid w:val="24E04F95"/>
    <w:rsid w:val="25553B1F"/>
    <w:rsid w:val="25981AB5"/>
    <w:rsid w:val="25A04B22"/>
    <w:rsid w:val="2627610B"/>
    <w:rsid w:val="26827756"/>
    <w:rsid w:val="26C756D4"/>
    <w:rsid w:val="26C80178"/>
    <w:rsid w:val="26D11357"/>
    <w:rsid w:val="26F27F5D"/>
    <w:rsid w:val="26F30F76"/>
    <w:rsid w:val="2708235D"/>
    <w:rsid w:val="272E0923"/>
    <w:rsid w:val="273627A0"/>
    <w:rsid w:val="273E668C"/>
    <w:rsid w:val="27795E09"/>
    <w:rsid w:val="279871A5"/>
    <w:rsid w:val="27A421CE"/>
    <w:rsid w:val="27A630E1"/>
    <w:rsid w:val="27CE6E7A"/>
    <w:rsid w:val="27E6053F"/>
    <w:rsid w:val="28017E92"/>
    <w:rsid w:val="280C4E96"/>
    <w:rsid w:val="28195762"/>
    <w:rsid w:val="282B09BF"/>
    <w:rsid w:val="28412338"/>
    <w:rsid w:val="284B72B3"/>
    <w:rsid w:val="284F07BD"/>
    <w:rsid w:val="285E4B38"/>
    <w:rsid w:val="288325A9"/>
    <w:rsid w:val="288415A1"/>
    <w:rsid w:val="28D1651A"/>
    <w:rsid w:val="28D948BF"/>
    <w:rsid w:val="28F34AA2"/>
    <w:rsid w:val="290618A2"/>
    <w:rsid w:val="29226266"/>
    <w:rsid w:val="293D0399"/>
    <w:rsid w:val="29422464"/>
    <w:rsid w:val="29AE7AF9"/>
    <w:rsid w:val="29D76564"/>
    <w:rsid w:val="29E15FE8"/>
    <w:rsid w:val="2A110088"/>
    <w:rsid w:val="2A204806"/>
    <w:rsid w:val="2A2D6D05"/>
    <w:rsid w:val="2A427850"/>
    <w:rsid w:val="2A465E57"/>
    <w:rsid w:val="2A6A291A"/>
    <w:rsid w:val="2A7C3754"/>
    <w:rsid w:val="2A83615F"/>
    <w:rsid w:val="2A9036A3"/>
    <w:rsid w:val="2A9D0465"/>
    <w:rsid w:val="2AAD1B5F"/>
    <w:rsid w:val="2ABE1FBE"/>
    <w:rsid w:val="2AED38D4"/>
    <w:rsid w:val="2B116F77"/>
    <w:rsid w:val="2B165956"/>
    <w:rsid w:val="2B4B70C5"/>
    <w:rsid w:val="2B6F5066"/>
    <w:rsid w:val="2B9436E0"/>
    <w:rsid w:val="2BB551DB"/>
    <w:rsid w:val="2BDA2E28"/>
    <w:rsid w:val="2BE628AA"/>
    <w:rsid w:val="2C07341A"/>
    <w:rsid w:val="2C0B560D"/>
    <w:rsid w:val="2C163734"/>
    <w:rsid w:val="2C2C1DCD"/>
    <w:rsid w:val="2C417070"/>
    <w:rsid w:val="2C4604BD"/>
    <w:rsid w:val="2C523826"/>
    <w:rsid w:val="2C536608"/>
    <w:rsid w:val="2C536736"/>
    <w:rsid w:val="2C6977B7"/>
    <w:rsid w:val="2C6E531E"/>
    <w:rsid w:val="2C9E1613"/>
    <w:rsid w:val="2CC71223"/>
    <w:rsid w:val="2CD76031"/>
    <w:rsid w:val="2D062390"/>
    <w:rsid w:val="2D0B3CC9"/>
    <w:rsid w:val="2D2648FA"/>
    <w:rsid w:val="2D2D2E34"/>
    <w:rsid w:val="2D7D7F0E"/>
    <w:rsid w:val="2DDE079E"/>
    <w:rsid w:val="2E27680A"/>
    <w:rsid w:val="2E81758A"/>
    <w:rsid w:val="2E95216B"/>
    <w:rsid w:val="2EA06DD7"/>
    <w:rsid w:val="2EBA754D"/>
    <w:rsid w:val="2EBB091D"/>
    <w:rsid w:val="2EEB3529"/>
    <w:rsid w:val="2F0C2E53"/>
    <w:rsid w:val="2F0D0546"/>
    <w:rsid w:val="2F224A89"/>
    <w:rsid w:val="2F320885"/>
    <w:rsid w:val="2F36359B"/>
    <w:rsid w:val="2F5C50ED"/>
    <w:rsid w:val="2F616751"/>
    <w:rsid w:val="2F646F21"/>
    <w:rsid w:val="2F6E2B14"/>
    <w:rsid w:val="2F7E04F5"/>
    <w:rsid w:val="2F8E0434"/>
    <w:rsid w:val="2FA93322"/>
    <w:rsid w:val="2FD144C9"/>
    <w:rsid w:val="2FF124EE"/>
    <w:rsid w:val="3016768F"/>
    <w:rsid w:val="30442F65"/>
    <w:rsid w:val="306D193F"/>
    <w:rsid w:val="306E74AE"/>
    <w:rsid w:val="3084399F"/>
    <w:rsid w:val="309E53EF"/>
    <w:rsid w:val="30A55F03"/>
    <w:rsid w:val="30C10112"/>
    <w:rsid w:val="30CB71E3"/>
    <w:rsid w:val="30CF6643"/>
    <w:rsid w:val="30F564EF"/>
    <w:rsid w:val="312D2584"/>
    <w:rsid w:val="3173579F"/>
    <w:rsid w:val="31810259"/>
    <w:rsid w:val="319620CE"/>
    <w:rsid w:val="31D51728"/>
    <w:rsid w:val="321A1829"/>
    <w:rsid w:val="324A67B5"/>
    <w:rsid w:val="32544A18"/>
    <w:rsid w:val="3285769A"/>
    <w:rsid w:val="32AC4BAF"/>
    <w:rsid w:val="32C46C9D"/>
    <w:rsid w:val="32E54816"/>
    <w:rsid w:val="330622AE"/>
    <w:rsid w:val="33291F9F"/>
    <w:rsid w:val="332921DC"/>
    <w:rsid w:val="333A1290"/>
    <w:rsid w:val="3344773C"/>
    <w:rsid w:val="33552FCC"/>
    <w:rsid w:val="337D44FF"/>
    <w:rsid w:val="33814373"/>
    <w:rsid w:val="33D853EF"/>
    <w:rsid w:val="33F04676"/>
    <w:rsid w:val="3407191A"/>
    <w:rsid w:val="34286628"/>
    <w:rsid w:val="342F0CEE"/>
    <w:rsid w:val="34AF7D2E"/>
    <w:rsid w:val="34B721D4"/>
    <w:rsid w:val="34BF705E"/>
    <w:rsid w:val="34D20511"/>
    <w:rsid w:val="34D4418C"/>
    <w:rsid w:val="34DB551B"/>
    <w:rsid w:val="34F13CB6"/>
    <w:rsid w:val="35054CFD"/>
    <w:rsid w:val="35225057"/>
    <w:rsid w:val="35431A77"/>
    <w:rsid w:val="35641529"/>
    <w:rsid w:val="358C701E"/>
    <w:rsid w:val="35A41DB0"/>
    <w:rsid w:val="35BC359E"/>
    <w:rsid w:val="35D2691D"/>
    <w:rsid w:val="35D64805"/>
    <w:rsid w:val="35E6061B"/>
    <w:rsid w:val="364A0BAA"/>
    <w:rsid w:val="364E3117"/>
    <w:rsid w:val="3657727D"/>
    <w:rsid w:val="368E7ED1"/>
    <w:rsid w:val="36B75BAA"/>
    <w:rsid w:val="37163F07"/>
    <w:rsid w:val="371B60A2"/>
    <w:rsid w:val="37930739"/>
    <w:rsid w:val="37BA62A6"/>
    <w:rsid w:val="37C40995"/>
    <w:rsid w:val="37C65BB6"/>
    <w:rsid w:val="37EB3AF5"/>
    <w:rsid w:val="38033706"/>
    <w:rsid w:val="38170F5F"/>
    <w:rsid w:val="382C7FAA"/>
    <w:rsid w:val="384C77F4"/>
    <w:rsid w:val="38763ED8"/>
    <w:rsid w:val="388804DD"/>
    <w:rsid w:val="38C62EDA"/>
    <w:rsid w:val="39023FFF"/>
    <w:rsid w:val="39066993"/>
    <w:rsid w:val="3931242B"/>
    <w:rsid w:val="39341AA6"/>
    <w:rsid w:val="39363667"/>
    <w:rsid w:val="39495DA5"/>
    <w:rsid w:val="394F2459"/>
    <w:rsid w:val="39656E93"/>
    <w:rsid w:val="39700927"/>
    <w:rsid w:val="398377B4"/>
    <w:rsid w:val="39B051C8"/>
    <w:rsid w:val="39CF6EDE"/>
    <w:rsid w:val="39D87645"/>
    <w:rsid w:val="39F7221A"/>
    <w:rsid w:val="3A0C3897"/>
    <w:rsid w:val="3A430537"/>
    <w:rsid w:val="3A592FEA"/>
    <w:rsid w:val="3A656524"/>
    <w:rsid w:val="3A96323D"/>
    <w:rsid w:val="3ABB418A"/>
    <w:rsid w:val="3AC214F7"/>
    <w:rsid w:val="3ACF4E25"/>
    <w:rsid w:val="3AEE2C6E"/>
    <w:rsid w:val="3B073BC8"/>
    <w:rsid w:val="3B0B410F"/>
    <w:rsid w:val="3B1449DD"/>
    <w:rsid w:val="3B1B01D6"/>
    <w:rsid w:val="3B4E4C98"/>
    <w:rsid w:val="3B5322AF"/>
    <w:rsid w:val="3B597AED"/>
    <w:rsid w:val="3B615F60"/>
    <w:rsid w:val="3B6639AE"/>
    <w:rsid w:val="3B894744"/>
    <w:rsid w:val="3B8A3AC3"/>
    <w:rsid w:val="3BA0798D"/>
    <w:rsid w:val="3BAC3BAE"/>
    <w:rsid w:val="3BB96BD9"/>
    <w:rsid w:val="3BCD62C7"/>
    <w:rsid w:val="3C071A0E"/>
    <w:rsid w:val="3C08113A"/>
    <w:rsid w:val="3C196AC5"/>
    <w:rsid w:val="3C2123AD"/>
    <w:rsid w:val="3C214F04"/>
    <w:rsid w:val="3C2F6D79"/>
    <w:rsid w:val="3C607695"/>
    <w:rsid w:val="3C9C1A33"/>
    <w:rsid w:val="3CCA034E"/>
    <w:rsid w:val="3CDE5345"/>
    <w:rsid w:val="3D2263DC"/>
    <w:rsid w:val="3D2277EE"/>
    <w:rsid w:val="3D375BF2"/>
    <w:rsid w:val="3D734E8A"/>
    <w:rsid w:val="3D7722DE"/>
    <w:rsid w:val="3D8C7CFA"/>
    <w:rsid w:val="3DB01C3A"/>
    <w:rsid w:val="3DC6320C"/>
    <w:rsid w:val="3DE24197"/>
    <w:rsid w:val="3E8B6203"/>
    <w:rsid w:val="3EA66B99"/>
    <w:rsid w:val="3ED63D02"/>
    <w:rsid w:val="3ED855EA"/>
    <w:rsid w:val="3EE836F9"/>
    <w:rsid w:val="3F204B9E"/>
    <w:rsid w:val="3F321B82"/>
    <w:rsid w:val="3F3747DD"/>
    <w:rsid w:val="3F426098"/>
    <w:rsid w:val="3F690BAB"/>
    <w:rsid w:val="3FB63C14"/>
    <w:rsid w:val="3FD972BE"/>
    <w:rsid w:val="3FEC0F24"/>
    <w:rsid w:val="40705D75"/>
    <w:rsid w:val="40F363F2"/>
    <w:rsid w:val="41056CF5"/>
    <w:rsid w:val="412070D7"/>
    <w:rsid w:val="413B181B"/>
    <w:rsid w:val="413C5593"/>
    <w:rsid w:val="41443E62"/>
    <w:rsid w:val="41492110"/>
    <w:rsid w:val="4161036E"/>
    <w:rsid w:val="4172565D"/>
    <w:rsid w:val="417C2F0F"/>
    <w:rsid w:val="418D1865"/>
    <w:rsid w:val="4194022F"/>
    <w:rsid w:val="41943621"/>
    <w:rsid w:val="419E36C3"/>
    <w:rsid w:val="41A1553C"/>
    <w:rsid w:val="41A17771"/>
    <w:rsid w:val="41CC5861"/>
    <w:rsid w:val="41CE0E1E"/>
    <w:rsid w:val="421B164C"/>
    <w:rsid w:val="424737E8"/>
    <w:rsid w:val="426052B1"/>
    <w:rsid w:val="42CD2946"/>
    <w:rsid w:val="42EC1DE4"/>
    <w:rsid w:val="4320516C"/>
    <w:rsid w:val="43374264"/>
    <w:rsid w:val="433857FA"/>
    <w:rsid w:val="434247A4"/>
    <w:rsid w:val="44193A0A"/>
    <w:rsid w:val="442B3D5F"/>
    <w:rsid w:val="44452751"/>
    <w:rsid w:val="4453200B"/>
    <w:rsid w:val="445D47A0"/>
    <w:rsid w:val="44B30262"/>
    <w:rsid w:val="44F22B38"/>
    <w:rsid w:val="44F74ACF"/>
    <w:rsid w:val="45214B0F"/>
    <w:rsid w:val="45366C51"/>
    <w:rsid w:val="454871A3"/>
    <w:rsid w:val="457E3D61"/>
    <w:rsid w:val="45BE2A1A"/>
    <w:rsid w:val="45D030F4"/>
    <w:rsid w:val="45D11B46"/>
    <w:rsid w:val="45F97A71"/>
    <w:rsid w:val="45FF4EED"/>
    <w:rsid w:val="46054D90"/>
    <w:rsid w:val="460C6114"/>
    <w:rsid w:val="46167423"/>
    <w:rsid w:val="464046F3"/>
    <w:rsid w:val="4690085B"/>
    <w:rsid w:val="469919ED"/>
    <w:rsid w:val="469A1B61"/>
    <w:rsid w:val="46F657B9"/>
    <w:rsid w:val="46F875AC"/>
    <w:rsid w:val="472A51E9"/>
    <w:rsid w:val="472F1F2A"/>
    <w:rsid w:val="475E0317"/>
    <w:rsid w:val="47602282"/>
    <w:rsid w:val="477071F0"/>
    <w:rsid w:val="47BE31A6"/>
    <w:rsid w:val="47D95013"/>
    <w:rsid w:val="47FB7268"/>
    <w:rsid w:val="480A1F47"/>
    <w:rsid w:val="48205AE9"/>
    <w:rsid w:val="48483ABA"/>
    <w:rsid w:val="485D29BF"/>
    <w:rsid w:val="48684EBF"/>
    <w:rsid w:val="48741394"/>
    <w:rsid w:val="487E491C"/>
    <w:rsid w:val="488A3088"/>
    <w:rsid w:val="48AD51DE"/>
    <w:rsid w:val="48B6258A"/>
    <w:rsid w:val="490E3C67"/>
    <w:rsid w:val="491E1CE9"/>
    <w:rsid w:val="492D2391"/>
    <w:rsid w:val="4950607F"/>
    <w:rsid w:val="498C2D2B"/>
    <w:rsid w:val="49C378CE"/>
    <w:rsid w:val="49CD7CA9"/>
    <w:rsid w:val="49DE5CE3"/>
    <w:rsid w:val="49F8725E"/>
    <w:rsid w:val="4A3D4EE5"/>
    <w:rsid w:val="4A601617"/>
    <w:rsid w:val="4AA448D5"/>
    <w:rsid w:val="4AB77C70"/>
    <w:rsid w:val="4ADF590D"/>
    <w:rsid w:val="4B0F152A"/>
    <w:rsid w:val="4B460998"/>
    <w:rsid w:val="4B4F6B53"/>
    <w:rsid w:val="4BA252A4"/>
    <w:rsid w:val="4C237A7B"/>
    <w:rsid w:val="4C560803"/>
    <w:rsid w:val="4C5E4F57"/>
    <w:rsid w:val="4C8E1485"/>
    <w:rsid w:val="4CA26813"/>
    <w:rsid w:val="4CD211D7"/>
    <w:rsid w:val="4D0B5FEA"/>
    <w:rsid w:val="4D12479A"/>
    <w:rsid w:val="4D1573E4"/>
    <w:rsid w:val="4D4330E2"/>
    <w:rsid w:val="4D72372F"/>
    <w:rsid w:val="4D844549"/>
    <w:rsid w:val="4D8716BC"/>
    <w:rsid w:val="4D9329DF"/>
    <w:rsid w:val="4DA56BD4"/>
    <w:rsid w:val="4DAF7614"/>
    <w:rsid w:val="4DC06FBE"/>
    <w:rsid w:val="4DCD7C9F"/>
    <w:rsid w:val="4DD65CA8"/>
    <w:rsid w:val="4DD6622E"/>
    <w:rsid w:val="4DEC6284"/>
    <w:rsid w:val="4E36698F"/>
    <w:rsid w:val="4E894D40"/>
    <w:rsid w:val="4ECB6A08"/>
    <w:rsid w:val="4ED66DF1"/>
    <w:rsid w:val="4EE92F4A"/>
    <w:rsid w:val="4EEA0D24"/>
    <w:rsid w:val="4EFE3EB8"/>
    <w:rsid w:val="4F654A14"/>
    <w:rsid w:val="4F765BCB"/>
    <w:rsid w:val="4F7E7ADF"/>
    <w:rsid w:val="4F8000C8"/>
    <w:rsid w:val="4FC4439E"/>
    <w:rsid w:val="4FE86127"/>
    <w:rsid w:val="4FF95AA9"/>
    <w:rsid w:val="500B3467"/>
    <w:rsid w:val="50172ADE"/>
    <w:rsid w:val="502F5D8C"/>
    <w:rsid w:val="503A2212"/>
    <w:rsid w:val="503C0945"/>
    <w:rsid w:val="50566671"/>
    <w:rsid w:val="50616DC4"/>
    <w:rsid w:val="50830AE8"/>
    <w:rsid w:val="50B67AAD"/>
    <w:rsid w:val="50CE26AB"/>
    <w:rsid w:val="50E97E6E"/>
    <w:rsid w:val="50F534B6"/>
    <w:rsid w:val="50FB6D9B"/>
    <w:rsid w:val="51063CEB"/>
    <w:rsid w:val="51076F30"/>
    <w:rsid w:val="51110EF4"/>
    <w:rsid w:val="51452EB4"/>
    <w:rsid w:val="51A91CCA"/>
    <w:rsid w:val="51B915EA"/>
    <w:rsid w:val="51F23C64"/>
    <w:rsid w:val="51F4227F"/>
    <w:rsid w:val="51F845B1"/>
    <w:rsid w:val="52094756"/>
    <w:rsid w:val="520D28A1"/>
    <w:rsid w:val="52183754"/>
    <w:rsid w:val="52734B8D"/>
    <w:rsid w:val="52815D19"/>
    <w:rsid w:val="529E37B4"/>
    <w:rsid w:val="529F4A00"/>
    <w:rsid w:val="52A511EA"/>
    <w:rsid w:val="52AC4F94"/>
    <w:rsid w:val="52D431C9"/>
    <w:rsid w:val="52D93DFC"/>
    <w:rsid w:val="52FA52BF"/>
    <w:rsid w:val="52FD6413"/>
    <w:rsid w:val="530F6FAB"/>
    <w:rsid w:val="531D6EFC"/>
    <w:rsid w:val="534558E3"/>
    <w:rsid w:val="53517366"/>
    <w:rsid w:val="535778E6"/>
    <w:rsid w:val="537E0BB5"/>
    <w:rsid w:val="538A1638"/>
    <w:rsid w:val="539D11D3"/>
    <w:rsid w:val="53B101D4"/>
    <w:rsid w:val="53D333E6"/>
    <w:rsid w:val="540C6998"/>
    <w:rsid w:val="541A0123"/>
    <w:rsid w:val="54812B87"/>
    <w:rsid w:val="548D3B82"/>
    <w:rsid w:val="54A7015B"/>
    <w:rsid w:val="54AF6350"/>
    <w:rsid w:val="54F301DA"/>
    <w:rsid w:val="55083CB2"/>
    <w:rsid w:val="55197C6D"/>
    <w:rsid w:val="5528768F"/>
    <w:rsid w:val="55295312"/>
    <w:rsid w:val="552A0732"/>
    <w:rsid w:val="55325581"/>
    <w:rsid w:val="55683ADA"/>
    <w:rsid w:val="557B56DF"/>
    <w:rsid w:val="55920B6D"/>
    <w:rsid w:val="55BE7B38"/>
    <w:rsid w:val="55C951EF"/>
    <w:rsid w:val="55CE39BB"/>
    <w:rsid w:val="55D01AD3"/>
    <w:rsid w:val="55D9624A"/>
    <w:rsid w:val="55F8121C"/>
    <w:rsid w:val="55FE5DC1"/>
    <w:rsid w:val="56011360"/>
    <w:rsid w:val="5628013A"/>
    <w:rsid w:val="563E2BBB"/>
    <w:rsid w:val="5697709C"/>
    <w:rsid w:val="56DB78D0"/>
    <w:rsid w:val="56E57FF1"/>
    <w:rsid w:val="56E61FD7"/>
    <w:rsid w:val="5721105B"/>
    <w:rsid w:val="574100EE"/>
    <w:rsid w:val="575C534A"/>
    <w:rsid w:val="57643E98"/>
    <w:rsid w:val="580A25AE"/>
    <w:rsid w:val="5818420C"/>
    <w:rsid w:val="58737694"/>
    <w:rsid w:val="5877768A"/>
    <w:rsid w:val="58C50F14"/>
    <w:rsid w:val="58CA79D4"/>
    <w:rsid w:val="58D17048"/>
    <w:rsid w:val="58ED4252"/>
    <w:rsid w:val="58F20F01"/>
    <w:rsid w:val="59617814"/>
    <w:rsid w:val="59624CEB"/>
    <w:rsid w:val="597C6A1D"/>
    <w:rsid w:val="59CA6C37"/>
    <w:rsid w:val="59E31AAF"/>
    <w:rsid w:val="5A00764E"/>
    <w:rsid w:val="5A421A14"/>
    <w:rsid w:val="5A4B3A12"/>
    <w:rsid w:val="5A5E25A3"/>
    <w:rsid w:val="5A625F4E"/>
    <w:rsid w:val="5A867B53"/>
    <w:rsid w:val="5A946E95"/>
    <w:rsid w:val="5AC41F34"/>
    <w:rsid w:val="5AD54636"/>
    <w:rsid w:val="5B1A14CA"/>
    <w:rsid w:val="5B32079A"/>
    <w:rsid w:val="5B372BFB"/>
    <w:rsid w:val="5B3965B8"/>
    <w:rsid w:val="5B761CFD"/>
    <w:rsid w:val="5B773F0B"/>
    <w:rsid w:val="5B7A35BA"/>
    <w:rsid w:val="5B863B83"/>
    <w:rsid w:val="5B8D4F11"/>
    <w:rsid w:val="5B925F72"/>
    <w:rsid w:val="5BA328E5"/>
    <w:rsid w:val="5C134991"/>
    <w:rsid w:val="5C2634BB"/>
    <w:rsid w:val="5C2E40B9"/>
    <w:rsid w:val="5C3D5135"/>
    <w:rsid w:val="5C601C2D"/>
    <w:rsid w:val="5C7C4FD3"/>
    <w:rsid w:val="5CFC10D2"/>
    <w:rsid w:val="5D107877"/>
    <w:rsid w:val="5D17501F"/>
    <w:rsid w:val="5D23755F"/>
    <w:rsid w:val="5D3B5D78"/>
    <w:rsid w:val="5D3C274B"/>
    <w:rsid w:val="5D4B162F"/>
    <w:rsid w:val="5D656DAB"/>
    <w:rsid w:val="5D6C4995"/>
    <w:rsid w:val="5D7E1F0F"/>
    <w:rsid w:val="5D8C4CC8"/>
    <w:rsid w:val="5DE132F2"/>
    <w:rsid w:val="5E0A1696"/>
    <w:rsid w:val="5E5835B4"/>
    <w:rsid w:val="5E664E66"/>
    <w:rsid w:val="5E693A13"/>
    <w:rsid w:val="5E84084D"/>
    <w:rsid w:val="5EBA51F9"/>
    <w:rsid w:val="5EBB452B"/>
    <w:rsid w:val="5EC63B26"/>
    <w:rsid w:val="5F4F0E3A"/>
    <w:rsid w:val="5F830B05"/>
    <w:rsid w:val="5F9C54CE"/>
    <w:rsid w:val="5FA1028E"/>
    <w:rsid w:val="5FAD7DD0"/>
    <w:rsid w:val="5FC26A78"/>
    <w:rsid w:val="5FC84B87"/>
    <w:rsid w:val="5FE668BC"/>
    <w:rsid w:val="603E67DA"/>
    <w:rsid w:val="604D0FC3"/>
    <w:rsid w:val="60550510"/>
    <w:rsid w:val="60610BF6"/>
    <w:rsid w:val="60703B2B"/>
    <w:rsid w:val="60973EF1"/>
    <w:rsid w:val="60A01243"/>
    <w:rsid w:val="60C564BB"/>
    <w:rsid w:val="60EA0710"/>
    <w:rsid w:val="60F669E2"/>
    <w:rsid w:val="60FB0B7D"/>
    <w:rsid w:val="6171570A"/>
    <w:rsid w:val="617252AA"/>
    <w:rsid w:val="61E70387"/>
    <w:rsid w:val="61FA118F"/>
    <w:rsid w:val="62151563"/>
    <w:rsid w:val="622E003A"/>
    <w:rsid w:val="623954AB"/>
    <w:rsid w:val="624844A2"/>
    <w:rsid w:val="62886E85"/>
    <w:rsid w:val="62A50D92"/>
    <w:rsid w:val="62C06F29"/>
    <w:rsid w:val="62D15F00"/>
    <w:rsid w:val="63201C31"/>
    <w:rsid w:val="632C5010"/>
    <w:rsid w:val="634931C1"/>
    <w:rsid w:val="63500CFE"/>
    <w:rsid w:val="635A11B9"/>
    <w:rsid w:val="63622617"/>
    <w:rsid w:val="63627A46"/>
    <w:rsid w:val="637A0055"/>
    <w:rsid w:val="63C67A48"/>
    <w:rsid w:val="63CA180E"/>
    <w:rsid w:val="63FD075A"/>
    <w:rsid w:val="640D1F91"/>
    <w:rsid w:val="64166F7B"/>
    <w:rsid w:val="644B68FB"/>
    <w:rsid w:val="644C25DC"/>
    <w:rsid w:val="645057B1"/>
    <w:rsid w:val="64540D5E"/>
    <w:rsid w:val="64630F05"/>
    <w:rsid w:val="646D1212"/>
    <w:rsid w:val="64851F22"/>
    <w:rsid w:val="64B90B25"/>
    <w:rsid w:val="64B96D77"/>
    <w:rsid w:val="64F211FC"/>
    <w:rsid w:val="64F24FFF"/>
    <w:rsid w:val="65336FA1"/>
    <w:rsid w:val="6562489F"/>
    <w:rsid w:val="65630452"/>
    <w:rsid w:val="65673652"/>
    <w:rsid w:val="656C455D"/>
    <w:rsid w:val="65962BE7"/>
    <w:rsid w:val="65D8147F"/>
    <w:rsid w:val="662D3578"/>
    <w:rsid w:val="663C5827"/>
    <w:rsid w:val="664A7005"/>
    <w:rsid w:val="665C20B0"/>
    <w:rsid w:val="666B2582"/>
    <w:rsid w:val="66763E5C"/>
    <w:rsid w:val="66E250A2"/>
    <w:rsid w:val="66E300DB"/>
    <w:rsid w:val="66EC51E2"/>
    <w:rsid w:val="67117C8D"/>
    <w:rsid w:val="671D7DD5"/>
    <w:rsid w:val="67924ED4"/>
    <w:rsid w:val="67A55102"/>
    <w:rsid w:val="67B41F3D"/>
    <w:rsid w:val="67C577E1"/>
    <w:rsid w:val="67CD1BF1"/>
    <w:rsid w:val="684150B9"/>
    <w:rsid w:val="684D1CB0"/>
    <w:rsid w:val="68644FE1"/>
    <w:rsid w:val="68752CAE"/>
    <w:rsid w:val="687A0C3D"/>
    <w:rsid w:val="68B22CCF"/>
    <w:rsid w:val="68E05C12"/>
    <w:rsid w:val="690A5E69"/>
    <w:rsid w:val="69247277"/>
    <w:rsid w:val="694F1A58"/>
    <w:rsid w:val="696C085C"/>
    <w:rsid w:val="69B8584F"/>
    <w:rsid w:val="69DD524A"/>
    <w:rsid w:val="69DD52B6"/>
    <w:rsid w:val="69E64ED7"/>
    <w:rsid w:val="6A18009C"/>
    <w:rsid w:val="6A1F060B"/>
    <w:rsid w:val="6A266C5C"/>
    <w:rsid w:val="6A270C55"/>
    <w:rsid w:val="6A283551"/>
    <w:rsid w:val="6A3A611C"/>
    <w:rsid w:val="6A556392"/>
    <w:rsid w:val="6A5F216E"/>
    <w:rsid w:val="6A6432E1"/>
    <w:rsid w:val="6A6809E4"/>
    <w:rsid w:val="6A6872A3"/>
    <w:rsid w:val="6A7379C8"/>
    <w:rsid w:val="6B057468"/>
    <w:rsid w:val="6B3D7886"/>
    <w:rsid w:val="6B6E213C"/>
    <w:rsid w:val="6B78149A"/>
    <w:rsid w:val="6B7C1223"/>
    <w:rsid w:val="6BBD4A19"/>
    <w:rsid w:val="6C037464"/>
    <w:rsid w:val="6C4C7DF6"/>
    <w:rsid w:val="6C502255"/>
    <w:rsid w:val="6C5C6499"/>
    <w:rsid w:val="6CB20CF4"/>
    <w:rsid w:val="6CC2423D"/>
    <w:rsid w:val="6CCF633D"/>
    <w:rsid w:val="6D481521"/>
    <w:rsid w:val="6D5B7F33"/>
    <w:rsid w:val="6D6F5BA3"/>
    <w:rsid w:val="6DB8130B"/>
    <w:rsid w:val="6DE138FF"/>
    <w:rsid w:val="6DE210B1"/>
    <w:rsid w:val="6E061278"/>
    <w:rsid w:val="6E2F0A19"/>
    <w:rsid w:val="6E3C2BCA"/>
    <w:rsid w:val="6E7206C2"/>
    <w:rsid w:val="6E813A9A"/>
    <w:rsid w:val="6EC9405A"/>
    <w:rsid w:val="6EDC41D0"/>
    <w:rsid w:val="6EE2154D"/>
    <w:rsid w:val="6EF8049C"/>
    <w:rsid w:val="6F130BA6"/>
    <w:rsid w:val="6F1570A7"/>
    <w:rsid w:val="6F457B85"/>
    <w:rsid w:val="6F4D3531"/>
    <w:rsid w:val="6F5B58E3"/>
    <w:rsid w:val="6F876503"/>
    <w:rsid w:val="6F946416"/>
    <w:rsid w:val="6F9B7800"/>
    <w:rsid w:val="6FBF0CBE"/>
    <w:rsid w:val="700928E3"/>
    <w:rsid w:val="70094055"/>
    <w:rsid w:val="70292F5C"/>
    <w:rsid w:val="70550D0E"/>
    <w:rsid w:val="706B388D"/>
    <w:rsid w:val="707F02F5"/>
    <w:rsid w:val="709E7CB9"/>
    <w:rsid w:val="70BD34BC"/>
    <w:rsid w:val="70CD08E3"/>
    <w:rsid w:val="70EC124B"/>
    <w:rsid w:val="7116259B"/>
    <w:rsid w:val="71221911"/>
    <w:rsid w:val="71632544"/>
    <w:rsid w:val="716476FD"/>
    <w:rsid w:val="717F6C52"/>
    <w:rsid w:val="71992523"/>
    <w:rsid w:val="71B24095"/>
    <w:rsid w:val="71C45366"/>
    <w:rsid w:val="71CF2863"/>
    <w:rsid w:val="71E0477D"/>
    <w:rsid w:val="71EA4A14"/>
    <w:rsid w:val="71FE04BF"/>
    <w:rsid w:val="7245109A"/>
    <w:rsid w:val="72531906"/>
    <w:rsid w:val="72577036"/>
    <w:rsid w:val="72627969"/>
    <w:rsid w:val="727A0312"/>
    <w:rsid w:val="72A55D11"/>
    <w:rsid w:val="72B1633E"/>
    <w:rsid w:val="72D82ABE"/>
    <w:rsid w:val="72FF004B"/>
    <w:rsid w:val="730F1CC9"/>
    <w:rsid w:val="732905FD"/>
    <w:rsid w:val="733C08CF"/>
    <w:rsid w:val="736E5BAB"/>
    <w:rsid w:val="73832D72"/>
    <w:rsid w:val="739A5D15"/>
    <w:rsid w:val="73B06FFE"/>
    <w:rsid w:val="73C117A4"/>
    <w:rsid w:val="73C556B8"/>
    <w:rsid w:val="73DB2866"/>
    <w:rsid w:val="73F27BAF"/>
    <w:rsid w:val="74060D79"/>
    <w:rsid w:val="7423420D"/>
    <w:rsid w:val="74324450"/>
    <w:rsid w:val="74387230"/>
    <w:rsid w:val="74B30765"/>
    <w:rsid w:val="74D5317C"/>
    <w:rsid w:val="74D80B53"/>
    <w:rsid w:val="74EA3555"/>
    <w:rsid w:val="750E243F"/>
    <w:rsid w:val="751920DB"/>
    <w:rsid w:val="7530273D"/>
    <w:rsid w:val="75585B76"/>
    <w:rsid w:val="757B2C29"/>
    <w:rsid w:val="758E7F20"/>
    <w:rsid w:val="75C44D0C"/>
    <w:rsid w:val="75DD4E98"/>
    <w:rsid w:val="760B6D64"/>
    <w:rsid w:val="761738FD"/>
    <w:rsid w:val="76285B0A"/>
    <w:rsid w:val="763D108C"/>
    <w:rsid w:val="763D4409"/>
    <w:rsid w:val="763D575F"/>
    <w:rsid w:val="765B2C0B"/>
    <w:rsid w:val="769515F9"/>
    <w:rsid w:val="76D649A4"/>
    <w:rsid w:val="76EB5C52"/>
    <w:rsid w:val="771D5C01"/>
    <w:rsid w:val="77244524"/>
    <w:rsid w:val="7725204A"/>
    <w:rsid w:val="772D6C2E"/>
    <w:rsid w:val="773E74C4"/>
    <w:rsid w:val="774150D6"/>
    <w:rsid w:val="776744D9"/>
    <w:rsid w:val="776963DA"/>
    <w:rsid w:val="779A3DE9"/>
    <w:rsid w:val="77A26138"/>
    <w:rsid w:val="77D53DD1"/>
    <w:rsid w:val="77DA02CC"/>
    <w:rsid w:val="77FA706D"/>
    <w:rsid w:val="782A0E50"/>
    <w:rsid w:val="78381D1A"/>
    <w:rsid w:val="78664B5B"/>
    <w:rsid w:val="786D1EFA"/>
    <w:rsid w:val="78864D0C"/>
    <w:rsid w:val="78A30A77"/>
    <w:rsid w:val="78AB7E1E"/>
    <w:rsid w:val="78BB4A14"/>
    <w:rsid w:val="78BC62B2"/>
    <w:rsid w:val="78C55892"/>
    <w:rsid w:val="791C6379"/>
    <w:rsid w:val="79455C0B"/>
    <w:rsid w:val="794E582D"/>
    <w:rsid w:val="796C25AE"/>
    <w:rsid w:val="798F2E17"/>
    <w:rsid w:val="799537E0"/>
    <w:rsid w:val="79A552DD"/>
    <w:rsid w:val="79FF36AB"/>
    <w:rsid w:val="7A0D1081"/>
    <w:rsid w:val="7A107F05"/>
    <w:rsid w:val="7A602BF6"/>
    <w:rsid w:val="7A6C5327"/>
    <w:rsid w:val="7A9304D2"/>
    <w:rsid w:val="7A992B33"/>
    <w:rsid w:val="7AA17C39"/>
    <w:rsid w:val="7AAC7456"/>
    <w:rsid w:val="7AB86A24"/>
    <w:rsid w:val="7ACB52DC"/>
    <w:rsid w:val="7AD1051F"/>
    <w:rsid w:val="7ADA0446"/>
    <w:rsid w:val="7AED1AAC"/>
    <w:rsid w:val="7AEF2DA3"/>
    <w:rsid w:val="7AF47D21"/>
    <w:rsid w:val="7B005580"/>
    <w:rsid w:val="7B203504"/>
    <w:rsid w:val="7B257630"/>
    <w:rsid w:val="7B352CD2"/>
    <w:rsid w:val="7BA9149B"/>
    <w:rsid w:val="7BB16DAF"/>
    <w:rsid w:val="7BD7023D"/>
    <w:rsid w:val="7BDE0335"/>
    <w:rsid w:val="7C08168C"/>
    <w:rsid w:val="7C314C4D"/>
    <w:rsid w:val="7C790E6E"/>
    <w:rsid w:val="7C95557C"/>
    <w:rsid w:val="7CAA4CD4"/>
    <w:rsid w:val="7CC83BA3"/>
    <w:rsid w:val="7CDF1FD1"/>
    <w:rsid w:val="7CE85FF3"/>
    <w:rsid w:val="7CEC14BA"/>
    <w:rsid w:val="7D056BA5"/>
    <w:rsid w:val="7D0F3580"/>
    <w:rsid w:val="7D364FB1"/>
    <w:rsid w:val="7D567401"/>
    <w:rsid w:val="7D5826EE"/>
    <w:rsid w:val="7D6873BE"/>
    <w:rsid w:val="7D9D3614"/>
    <w:rsid w:val="7DA86E52"/>
    <w:rsid w:val="7DF72288"/>
    <w:rsid w:val="7E2D54D9"/>
    <w:rsid w:val="7E3B5A1E"/>
    <w:rsid w:val="7E4028D4"/>
    <w:rsid w:val="7E454A20"/>
    <w:rsid w:val="7E6E7854"/>
    <w:rsid w:val="7EC309BC"/>
    <w:rsid w:val="7ECC151F"/>
    <w:rsid w:val="7F2D391A"/>
    <w:rsid w:val="7F2F70A9"/>
    <w:rsid w:val="7F7F0E61"/>
    <w:rsid w:val="7F9778E2"/>
    <w:rsid w:val="7FA33145"/>
    <w:rsid w:val="7FC71E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4"/>
    <w:next w:val="1"/>
    <w:qFormat/>
    <w:uiPriority w:val="0"/>
    <w:pPr>
      <w:keepNext/>
      <w:keepLines/>
      <w:snapToGrid w:val="0"/>
      <w:spacing w:beforeLines="0" w:beforeAutospacing="0" w:afterLines="0" w:afterAutospacing="0" w:line="560" w:lineRule="exact"/>
      <w:ind w:firstLine="0" w:firstLineChars="0"/>
      <w:outlineLvl w:val="0"/>
    </w:pPr>
    <w:rPr>
      <w:rFonts w:eastAsia="方正小标宋简体" w:cs="仿宋_GB2312" w:asciiTheme="minorAscii" w:hAnsiTheme="minorAscii"/>
      <w:b w:val="0"/>
      <w:kern w:val="44"/>
      <w:sz w:val="4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toc 1"/>
    <w:basedOn w:val="1"/>
    <w:next w:val="1"/>
    <w:unhideWhenUsed/>
    <w:qFormat/>
    <w:uiPriority w:val="39"/>
    <w:pPr>
      <w:widowControl/>
      <w:tabs>
        <w:tab w:val="right" w:leader="dot" w:pos="9060"/>
      </w:tabs>
      <w:spacing w:after="100" w:line="600" w:lineRule="exact"/>
      <w:jc w:val="left"/>
    </w:pPr>
    <w:rPr>
      <w:rFonts w:ascii="Calibri" w:hAnsi="Calibri" w:eastAsia="宋体" w:cs="Times New Roman"/>
      <w:kern w:val="0"/>
      <w:sz w:val="22"/>
    </w:rPr>
  </w:style>
  <w:style w:type="paragraph" w:styleId="4">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2021-05-18T01:48:00Z</dcterms:created>
  <dc:creator>GaoYuan</dc:creator>
  <cp:lastModifiedBy>xhuayu</cp:lastModifiedBy>
  <cp:lastPrinted>2022-03-18T06:27:05Z</cp:lastPrinted>
  <dcterms:modified xsi:type="dcterms:W3CDTF">2022-03-18T06:28:09Z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2052-11.1.0.11566</vt:lpwstr>
  </property>
  <property fmtid="{D5CDD505-2E9C-101B-9397-08002B2CF9AE}" pid="3" name="ICV">
    <vt:lpwstr>ED4F76454F7F4CB1AD57262AB2609A3C</vt:lpwstr>
  </property>
</Properties>
</file>